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BB892" w14:textId="77777777" w:rsidR="004E3F5F" w:rsidRPr="004E3F5F" w:rsidRDefault="004E3F5F" w:rsidP="004E3F5F">
      <w:pPr>
        <w:widowControl w:val="0"/>
        <w:overflowPunct w:val="0"/>
        <w:autoSpaceDE w:val="0"/>
        <w:autoSpaceDN w:val="0"/>
        <w:adjustRightInd w:val="0"/>
        <w:spacing w:before="480" w:after="0" w:line="240" w:lineRule="auto"/>
        <w:jc w:val="center"/>
        <w:textAlignment w:val="baseline"/>
        <w:rPr>
          <w:rFonts w:ascii="Arial" w:eastAsia="Times New Roman" w:hAnsi="Arial" w:cs="Arial"/>
          <w:b/>
          <w:sz w:val="28"/>
          <w:szCs w:val="28"/>
          <w:lang w:eastAsia="cs-CZ"/>
        </w:rPr>
      </w:pPr>
      <w:r w:rsidRPr="004E3F5F">
        <w:rPr>
          <w:rFonts w:ascii="Arial" w:eastAsia="Times New Roman" w:hAnsi="Arial" w:cs="Arial"/>
          <w:b/>
          <w:sz w:val="28"/>
          <w:szCs w:val="28"/>
          <w:lang w:eastAsia="cs-CZ"/>
        </w:rPr>
        <w:t>Dodatek č. ...................</w:t>
      </w:r>
      <w:bookmarkStart w:id="0" w:name="_GoBack"/>
      <w:bookmarkEnd w:id="0"/>
    </w:p>
    <w:p w14:paraId="4AC473C8" w14:textId="77777777" w:rsidR="004E3F5F" w:rsidRPr="004E3F5F" w:rsidRDefault="004E3F5F" w:rsidP="004E3F5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cs-CZ"/>
        </w:rPr>
      </w:pPr>
      <w:r w:rsidRPr="004E3F5F">
        <w:rPr>
          <w:rFonts w:ascii="Arial" w:eastAsia="Times New Roman" w:hAnsi="Arial" w:cs="Arial"/>
          <w:b/>
          <w:sz w:val="24"/>
          <w:szCs w:val="24"/>
          <w:lang w:eastAsia="cs-CZ"/>
        </w:rPr>
        <w:t>ke Smlouvě o poskytování a úhradě hrazených služeb</w:t>
      </w:r>
    </w:p>
    <w:p w14:paraId="6D9AA914" w14:textId="77777777" w:rsidR="004E3F5F" w:rsidRPr="004E3F5F" w:rsidRDefault="004E3F5F" w:rsidP="004E3F5F">
      <w:pPr>
        <w:overflowPunct w:val="0"/>
        <w:autoSpaceDE w:val="0"/>
        <w:autoSpaceDN w:val="0"/>
        <w:adjustRightInd w:val="0"/>
        <w:spacing w:after="0" w:line="240" w:lineRule="auto"/>
        <w:jc w:val="center"/>
        <w:textAlignment w:val="baseline"/>
        <w:rPr>
          <w:rFonts w:ascii="Arial" w:eastAsia="Times New Roman" w:hAnsi="Arial" w:cs="Arial"/>
          <w:sz w:val="18"/>
          <w:szCs w:val="20"/>
          <w:lang w:eastAsia="cs-CZ"/>
        </w:rPr>
      </w:pPr>
      <w:r w:rsidRPr="004E3F5F">
        <w:rPr>
          <w:rFonts w:ascii="Arial" w:eastAsia="Times New Roman" w:hAnsi="Arial" w:cs="Arial"/>
          <w:sz w:val="18"/>
          <w:szCs w:val="20"/>
          <w:lang w:eastAsia="cs-CZ"/>
        </w:rPr>
        <w:t xml:space="preserve">č. ……… ze dne …………… (dále jen „Smlouva“) </w:t>
      </w:r>
    </w:p>
    <w:p w14:paraId="615553E8" w14:textId="77777777" w:rsidR="004E3F5F" w:rsidRPr="004E3F5F" w:rsidRDefault="004E3F5F" w:rsidP="004E3F5F">
      <w:pPr>
        <w:overflowPunct w:val="0"/>
        <w:autoSpaceDE w:val="0"/>
        <w:autoSpaceDN w:val="0"/>
        <w:adjustRightInd w:val="0"/>
        <w:spacing w:after="0" w:line="240" w:lineRule="auto"/>
        <w:jc w:val="center"/>
        <w:textAlignment w:val="baseline"/>
        <w:rPr>
          <w:rFonts w:ascii="Arial" w:eastAsia="Times New Roman" w:hAnsi="Arial" w:cs="Arial"/>
          <w:sz w:val="18"/>
          <w:szCs w:val="20"/>
          <w:lang w:eastAsia="cs-CZ"/>
        </w:rPr>
      </w:pPr>
      <w:r w:rsidRPr="004E3F5F">
        <w:rPr>
          <w:rFonts w:ascii="Arial" w:eastAsia="Times New Roman" w:hAnsi="Arial" w:cs="Arial"/>
          <w:sz w:val="18"/>
          <w:szCs w:val="20"/>
          <w:lang w:eastAsia="cs-CZ"/>
        </w:rPr>
        <w:t>(stomatologie)</w:t>
      </w:r>
    </w:p>
    <w:p w14:paraId="2180DE00" w14:textId="77777777" w:rsidR="004E3F5F" w:rsidRPr="004E3F5F" w:rsidRDefault="004E3F5F" w:rsidP="004E3F5F">
      <w:pPr>
        <w:overflowPunct w:val="0"/>
        <w:autoSpaceDE w:val="0"/>
        <w:autoSpaceDN w:val="0"/>
        <w:adjustRightInd w:val="0"/>
        <w:spacing w:before="480" w:after="240" w:line="240" w:lineRule="auto"/>
        <w:textAlignment w:val="baseline"/>
        <w:rPr>
          <w:rFonts w:ascii="Arial" w:eastAsia="Times New Roman" w:hAnsi="Arial" w:cs="Arial"/>
          <w:sz w:val="18"/>
          <w:lang w:eastAsia="cs-CZ"/>
        </w:rPr>
      </w:pPr>
      <w:r w:rsidRPr="004E3F5F">
        <w:rPr>
          <w:rFonts w:ascii="Arial" w:eastAsia="Times New Roman" w:hAnsi="Arial" w:cs="Arial"/>
          <w:sz w:val="18"/>
          <w:lang w:eastAsia="cs-CZ"/>
        </w:rPr>
        <w:t>uzavřené mezi smluvními stranami:</w:t>
      </w: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777"/>
      </w:tblGrid>
      <w:tr w:rsidR="004E3F5F" w:rsidRPr="004E3F5F" w14:paraId="4B365086" w14:textId="77777777" w:rsidTr="00891360">
        <w:trPr>
          <w:cnfStyle w:val="100000000000" w:firstRow="1" w:lastRow="0" w:firstColumn="0" w:lastColumn="0" w:oddVBand="0" w:evenVBand="0" w:oddHBand="0" w:evenHBand="0" w:firstRowFirstColumn="0" w:firstRowLastColumn="0" w:lastRowFirstColumn="0" w:lastRowLastColumn="0"/>
          <w:trHeight w:hRule="exact" w:val="567"/>
        </w:trPr>
        <w:tc>
          <w:tcPr>
            <w:tcW w:w="3510" w:type="dxa"/>
            <w:tcBorders>
              <w:right w:val="single" w:sz="4" w:space="0" w:color="auto"/>
            </w:tcBorders>
            <w:shd w:val="clear" w:color="auto" w:fill="auto"/>
            <w:vAlign w:val="center"/>
          </w:tcPr>
          <w:p w14:paraId="67D15CFF" w14:textId="77777777" w:rsidR="004E3F5F" w:rsidRPr="004E3F5F" w:rsidRDefault="004E3F5F" w:rsidP="004E3F5F">
            <w:pPr>
              <w:rPr>
                <w:rFonts w:ascii="Arial" w:hAnsi="Arial" w:cs="Arial"/>
                <w:sz w:val="18"/>
                <w:szCs w:val="18"/>
              </w:rPr>
            </w:pPr>
            <w:r w:rsidRPr="004E3F5F">
              <w:rPr>
                <w:rFonts w:ascii="Arial" w:hAnsi="Arial" w:cs="Arial"/>
                <w:sz w:val="18"/>
                <w:szCs w:val="18"/>
              </w:rPr>
              <w:t>Poskytovatel zdravotních služeb:</w:t>
            </w:r>
          </w:p>
        </w:tc>
        <w:tc>
          <w:tcPr>
            <w:tcW w:w="5777" w:type="dxa"/>
            <w:tcBorders>
              <w:left w:val="single" w:sz="4" w:space="0" w:color="auto"/>
            </w:tcBorders>
            <w:shd w:val="clear" w:color="auto" w:fill="auto"/>
            <w:vAlign w:val="center"/>
          </w:tcPr>
          <w:p w14:paraId="65E988E9" w14:textId="77777777" w:rsidR="004E3F5F" w:rsidRPr="004E3F5F" w:rsidRDefault="004E3F5F" w:rsidP="004E3F5F">
            <w:pPr>
              <w:rPr>
                <w:rFonts w:ascii="Arial" w:hAnsi="Arial" w:cs="Arial"/>
                <w:sz w:val="18"/>
                <w:szCs w:val="18"/>
              </w:rPr>
            </w:pPr>
          </w:p>
        </w:tc>
      </w:tr>
      <w:tr w:rsidR="004E3F5F" w:rsidRPr="004E3F5F" w14:paraId="352EEC29" w14:textId="77777777" w:rsidTr="00891360">
        <w:trPr>
          <w:cnfStyle w:val="000000100000" w:firstRow="0" w:lastRow="0" w:firstColumn="0" w:lastColumn="0" w:oddVBand="0" w:evenVBand="0" w:oddHBand="1" w:evenHBand="0" w:firstRowFirstColumn="0" w:firstRowLastColumn="0" w:lastRowFirstColumn="0" w:lastRowLastColumn="0"/>
          <w:trHeight w:hRule="exact" w:val="284"/>
        </w:trPr>
        <w:tc>
          <w:tcPr>
            <w:tcW w:w="3510" w:type="dxa"/>
            <w:shd w:val="clear" w:color="auto" w:fill="auto"/>
          </w:tcPr>
          <w:p w14:paraId="7DBC0482" w14:textId="77777777" w:rsidR="004E3F5F" w:rsidRPr="004E3F5F" w:rsidRDefault="004E3F5F" w:rsidP="004E3F5F">
            <w:pPr>
              <w:spacing w:before="40"/>
              <w:rPr>
                <w:rFonts w:ascii="Arial" w:hAnsi="Arial" w:cs="Arial"/>
                <w:sz w:val="18"/>
                <w:szCs w:val="18"/>
              </w:rPr>
            </w:pPr>
            <w:r w:rsidRPr="004E3F5F">
              <w:rPr>
                <w:rFonts w:ascii="Arial" w:hAnsi="Arial" w:cs="Arial"/>
                <w:b/>
                <w:sz w:val="18"/>
                <w:szCs w:val="18"/>
              </w:rPr>
              <w:t xml:space="preserve">Sídlo (obec): </w:t>
            </w:r>
          </w:p>
        </w:tc>
        <w:tc>
          <w:tcPr>
            <w:tcW w:w="5777" w:type="dxa"/>
            <w:shd w:val="clear" w:color="auto" w:fill="auto"/>
          </w:tcPr>
          <w:p w14:paraId="3105FBA5" w14:textId="77777777" w:rsidR="004E3F5F" w:rsidRPr="004E3F5F" w:rsidRDefault="004E3F5F" w:rsidP="004E3F5F">
            <w:pPr>
              <w:spacing w:before="40"/>
              <w:rPr>
                <w:rFonts w:ascii="Arial" w:hAnsi="Arial" w:cs="Arial"/>
                <w:sz w:val="18"/>
                <w:szCs w:val="18"/>
              </w:rPr>
            </w:pPr>
          </w:p>
          <w:p w14:paraId="4D93ABB4" w14:textId="77777777" w:rsidR="004E3F5F" w:rsidRPr="004E3F5F" w:rsidRDefault="004E3F5F" w:rsidP="004E3F5F">
            <w:pPr>
              <w:spacing w:before="40"/>
              <w:rPr>
                <w:rFonts w:ascii="Arial" w:hAnsi="Arial" w:cs="Arial"/>
                <w:sz w:val="18"/>
                <w:szCs w:val="18"/>
              </w:rPr>
            </w:pPr>
          </w:p>
        </w:tc>
      </w:tr>
      <w:tr w:rsidR="004E3F5F" w:rsidRPr="004E3F5F" w14:paraId="6CD1AE53" w14:textId="77777777" w:rsidTr="00891360">
        <w:trPr>
          <w:cnfStyle w:val="000000010000" w:firstRow="0" w:lastRow="0" w:firstColumn="0" w:lastColumn="0" w:oddVBand="0" w:evenVBand="0" w:oddHBand="0" w:evenHBand="1" w:firstRowFirstColumn="0" w:firstRowLastColumn="0" w:lastRowFirstColumn="0" w:lastRowLastColumn="0"/>
          <w:trHeight w:hRule="exact" w:val="284"/>
        </w:trPr>
        <w:tc>
          <w:tcPr>
            <w:tcW w:w="3510" w:type="dxa"/>
            <w:shd w:val="clear" w:color="auto" w:fill="auto"/>
          </w:tcPr>
          <w:p w14:paraId="6426BD94" w14:textId="77777777" w:rsidR="004E3F5F" w:rsidRPr="004E3F5F" w:rsidRDefault="004E3F5F" w:rsidP="004E3F5F">
            <w:pPr>
              <w:spacing w:before="40"/>
              <w:rPr>
                <w:rFonts w:ascii="Arial" w:hAnsi="Arial" w:cs="Arial"/>
                <w:b/>
                <w:sz w:val="18"/>
                <w:szCs w:val="18"/>
              </w:rPr>
            </w:pPr>
            <w:r w:rsidRPr="004E3F5F">
              <w:rPr>
                <w:rFonts w:ascii="Arial" w:hAnsi="Arial" w:cs="Arial"/>
                <w:b/>
                <w:sz w:val="18"/>
                <w:szCs w:val="18"/>
              </w:rPr>
              <w:t>Ulice, č.p., PSČ:</w:t>
            </w:r>
          </w:p>
        </w:tc>
        <w:tc>
          <w:tcPr>
            <w:tcW w:w="5777" w:type="dxa"/>
            <w:shd w:val="clear" w:color="auto" w:fill="auto"/>
          </w:tcPr>
          <w:p w14:paraId="3D43CB0E" w14:textId="77777777" w:rsidR="004E3F5F" w:rsidRPr="004E3F5F" w:rsidRDefault="004E3F5F" w:rsidP="004E3F5F">
            <w:pPr>
              <w:spacing w:before="40"/>
              <w:rPr>
                <w:rFonts w:ascii="Arial" w:hAnsi="Arial" w:cs="Arial"/>
                <w:sz w:val="18"/>
                <w:szCs w:val="18"/>
              </w:rPr>
            </w:pPr>
          </w:p>
        </w:tc>
      </w:tr>
      <w:tr w:rsidR="004E3F5F" w:rsidRPr="004E3F5F" w14:paraId="60A15E41" w14:textId="77777777" w:rsidTr="00891360">
        <w:trPr>
          <w:cnfStyle w:val="000000100000" w:firstRow="0" w:lastRow="0" w:firstColumn="0" w:lastColumn="0" w:oddVBand="0" w:evenVBand="0" w:oddHBand="1" w:evenHBand="0" w:firstRowFirstColumn="0" w:firstRowLastColumn="0" w:lastRowFirstColumn="0" w:lastRowLastColumn="0"/>
          <w:trHeight w:hRule="exact" w:val="737"/>
        </w:trPr>
        <w:tc>
          <w:tcPr>
            <w:tcW w:w="9287" w:type="dxa"/>
            <w:gridSpan w:val="2"/>
            <w:shd w:val="clear" w:color="auto" w:fill="auto"/>
          </w:tcPr>
          <w:p w14:paraId="4319A8FA" w14:textId="77777777" w:rsidR="004E3F5F" w:rsidRPr="004E3F5F" w:rsidRDefault="004E3F5F" w:rsidP="004E3F5F">
            <w:pPr>
              <w:spacing w:before="40"/>
              <w:rPr>
                <w:rFonts w:ascii="Arial" w:hAnsi="Arial" w:cs="Arial"/>
                <w:b/>
                <w:sz w:val="18"/>
                <w:szCs w:val="18"/>
              </w:rPr>
            </w:pPr>
            <w:r w:rsidRPr="004E3F5F">
              <w:rPr>
                <w:rFonts w:ascii="Arial" w:hAnsi="Arial" w:cs="Arial"/>
                <w:b/>
                <w:sz w:val="18"/>
                <w:szCs w:val="18"/>
              </w:rPr>
              <w:t>Zápis v obchodním rejstříku:</w:t>
            </w:r>
          </w:p>
          <w:p w14:paraId="4A745E5B" w14:textId="77777777" w:rsidR="004E3F5F" w:rsidRPr="004E3F5F" w:rsidRDefault="004E3F5F" w:rsidP="004E3F5F">
            <w:pPr>
              <w:numPr>
                <w:ilvl w:val="0"/>
                <w:numId w:val="1"/>
              </w:numPr>
              <w:spacing w:before="40"/>
              <w:contextualSpacing/>
              <w:rPr>
                <w:rFonts w:ascii="Arial" w:hAnsi="Arial" w:cs="Arial"/>
                <w:sz w:val="18"/>
                <w:szCs w:val="18"/>
              </w:rPr>
            </w:pPr>
            <w:r w:rsidRPr="004E3F5F">
              <w:rPr>
                <w:rFonts w:ascii="Arial" w:hAnsi="Arial" w:cs="Arial"/>
                <w:sz w:val="18"/>
                <w:szCs w:val="18"/>
              </w:rPr>
              <w:t>……</w:t>
            </w:r>
            <w:proofErr w:type="gramStart"/>
            <w:r w:rsidRPr="004E3F5F">
              <w:rPr>
                <w:rFonts w:ascii="Arial" w:hAnsi="Arial" w:cs="Arial"/>
                <w:sz w:val="18"/>
                <w:szCs w:val="18"/>
              </w:rPr>
              <w:t>…….</w:t>
            </w:r>
            <w:proofErr w:type="gramEnd"/>
            <w:r w:rsidRPr="004E3F5F">
              <w:rPr>
                <w:rFonts w:ascii="Arial" w:hAnsi="Arial" w:cs="Arial"/>
                <w:sz w:val="18"/>
                <w:szCs w:val="18"/>
              </w:rPr>
              <w:t>soud ………….., oddíl …, vložka ….., dne ……….</w:t>
            </w:r>
          </w:p>
          <w:p w14:paraId="6D54933C" w14:textId="77777777" w:rsidR="004E3F5F" w:rsidRPr="004E3F5F" w:rsidRDefault="004E3F5F" w:rsidP="004E3F5F">
            <w:pPr>
              <w:numPr>
                <w:ilvl w:val="0"/>
                <w:numId w:val="1"/>
              </w:numPr>
              <w:spacing w:before="40"/>
              <w:contextualSpacing/>
              <w:rPr>
                <w:rFonts w:ascii="Arial" w:hAnsi="Arial" w:cs="Arial"/>
                <w:b/>
                <w:strike/>
                <w:sz w:val="18"/>
                <w:szCs w:val="18"/>
              </w:rPr>
            </w:pPr>
            <w:r w:rsidRPr="004E3F5F">
              <w:rPr>
                <w:rFonts w:ascii="Arial" w:hAnsi="Arial" w:cs="Arial"/>
                <w:sz w:val="18"/>
                <w:szCs w:val="18"/>
              </w:rPr>
              <w:t>nezapisuje se</w:t>
            </w:r>
          </w:p>
        </w:tc>
      </w:tr>
      <w:tr w:rsidR="004E3F5F" w:rsidRPr="004E3F5F" w14:paraId="427B5CC4" w14:textId="77777777" w:rsidTr="00891360">
        <w:trPr>
          <w:cnfStyle w:val="000000010000" w:firstRow="0" w:lastRow="0" w:firstColumn="0" w:lastColumn="0" w:oddVBand="0" w:evenVBand="0" w:oddHBand="0" w:evenHBand="1" w:firstRowFirstColumn="0" w:firstRowLastColumn="0" w:lastRowFirstColumn="0" w:lastRowLastColumn="0"/>
          <w:trHeight w:hRule="exact" w:val="851"/>
        </w:trPr>
        <w:tc>
          <w:tcPr>
            <w:tcW w:w="3510" w:type="dxa"/>
            <w:shd w:val="clear" w:color="auto" w:fill="auto"/>
            <w:vAlign w:val="center"/>
          </w:tcPr>
          <w:p w14:paraId="29A9CE63" w14:textId="77777777" w:rsidR="004E3F5F" w:rsidRPr="004E3F5F" w:rsidRDefault="004E3F5F" w:rsidP="004E3F5F">
            <w:pPr>
              <w:spacing w:before="40"/>
              <w:rPr>
                <w:rFonts w:ascii="Arial" w:hAnsi="Arial" w:cs="Arial"/>
                <w:b/>
                <w:sz w:val="18"/>
                <w:szCs w:val="18"/>
              </w:rPr>
            </w:pPr>
            <w:r w:rsidRPr="004E3F5F">
              <w:rPr>
                <w:rFonts w:ascii="Arial" w:hAnsi="Arial" w:cs="Arial"/>
                <w:b/>
                <w:sz w:val="18"/>
                <w:szCs w:val="18"/>
              </w:rPr>
              <w:t xml:space="preserve">Zastoupený </w:t>
            </w:r>
          </w:p>
          <w:p w14:paraId="725F7F95" w14:textId="77777777" w:rsidR="004E3F5F" w:rsidRPr="004E3F5F" w:rsidRDefault="004E3F5F" w:rsidP="004E3F5F">
            <w:pPr>
              <w:spacing w:before="40"/>
              <w:rPr>
                <w:rFonts w:ascii="Arial" w:hAnsi="Arial" w:cs="Arial"/>
                <w:b/>
                <w:sz w:val="18"/>
                <w:szCs w:val="18"/>
              </w:rPr>
            </w:pPr>
            <w:r w:rsidRPr="004E3F5F">
              <w:rPr>
                <w:rFonts w:ascii="Arial" w:hAnsi="Arial" w:cs="Arial"/>
                <w:b/>
                <w:sz w:val="18"/>
                <w:szCs w:val="18"/>
              </w:rPr>
              <w:t>(jméno, funkce):</w:t>
            </w:r>
          </w:p>
        </w:tc>
        <w:tc>
          <w:tcPr>
            <w:tcW w:w="5777" w:type="dxa"/>
            <w:shd w:val="clear" w:color="auto" w:fill="auto"/>
            <w:vAlign w:val="center"/>
          </w:tcPr>
          <w:p w14:paraId="54AE6C3E" w14:textId="77777777" w:rsidR="004E3F5F" w:rsidRPr="004E3F5F" w:rsidRDefault="004E3F5F" w:rsidP="004E3F5F">
            <w:pPr>
              <w:spacing w:before="40"/>
              <w:rPr>
                <w:rFonts w:ascii="Arial" w:hAnsi="Arial" w:cs="Arial"/>
                <w:sz w:val="18"/>
                <w:szCs w:val="18"/>
              </w:rPr>
            </w:pPr>
          </w:p>
        </w:tc>
      </w:tr>
      <w:tr w:rsidR="004E3F5F" w:rsidRPr="004E3F5F" w14:paraId="3036BBAF" w14:textId="77777777" w:rsidTr="00891360">
        <w:trPr>
          <w:cnfStyle w:val="000000100000" w:firstRow="0" w:lastRow="0" w:firstColumn="0" w:lastColumn="0" w:oddVBand="0" w:evenVBand="0" w:oddHBand="1" w:evenHBand="0" w:firstRowFirstColumn="0" w:firstRowLastColumn="0" w:lastRowFirstColumn="0" w:lastRowLastColumn="0"/>
          <w:trHeight w:hRule="exact" w:val="284"/>
        </w:trPr>
        <w:tc>
          <w:tcPr>
            <w:tcW w:w="3510" w:type="dxa"/>
            <w:shd w:val="clear" w:color="auto" w:fill="auto"/>
          </w:tcPr>
          <w:p w14:paraId="11A2A7AB" w14:textId="77777777" w:rsidR="004E3F5F" w:rsidRPr="004E3F5F" w:rsidRDefault="004E3F5F" w:rsidP="004E3F5F">
            <w:pPr>
              <w:spacing w:before="40"/>
              <w:rPr>
                <w:rFonts w:ascii="Arial" w:hAnsi="Arial" w:cs="Arial"/>
                <w:b/>
                <w:sz w:val="18"/>
                <w:szCs w:val="18"/>
              </w:rPr>
            </w:pPr>
            <w:r w:rsidRPr="004E3F5F">
              <w:rPr>
                <w:rFonts w:ascii="Arial" w:hAnsi="Arial" w:cs="Arial"/>
                <w:b/>
                <w:sz w:val="18"/>
                <w:szCs w:val="18"/>
              </w:rPr>
              <w:t>IČ:</w:t>
            </w:r>
          </w:p>
        </w:tc>
        <w:tc>
          <w:tcPr>
            <w:tcW w:w="5777" w:type="dxa"/>
            <w:shd w:val="clear" w:color="auto" w:fill="auto"/>
          </w:tcPr>
          <w:p w14:paraId="28070425" w14:textId="77777777" w:rsidR="004E3F5F" w:rsidRPr="004E3F5F" w:rsidRDefault="004E3F5F" w:rsidP="004E3F5F">
            <w:pPr>
              <w:spacing w:before="40"/>
              <w:rPr>
                <w:rFonts w:ascii="Arial" w:hAnsi="Arial" w:cs="Arial"/>
                <w:sz w:val="18"/>
                <w:szCs w:val="18"/>
              </w:rPr>
            </w:pPr>
          </w:p>
        </w:tc>
      </w:tr>
      <w:tr w:rsidR="004E3F5F" w:rsidRPr="004E3F5F" w14:paraId="0097F9EB" w14:textId="77777777" w:rsidTr="00891360">
        <w:trPr>
          <w:cnfStyle w:val="000000010000" w:firstRow="0" w:lastRow="0" w:firstColumn="0" w:lastColumn="0" w:oddVBand="0" w:evenVBand="0" w:oddHBand="0" w:evenHBand="1" w:firstRowFirstColumn="0" w:firstRowLastColumn="0" w:lastRowFirstColumn="0" w:lastRowLastColumn="0"/>
          <w:trHeight w:hRule="exact" w:val="284"/>
        </w:trPr>
        <w:tc>
          <w:tcPr>
            <w:tcW w:w="3510" w:type="dxa"/>
            <w:shd w:val="clear" w:color="auto" w:fill="auto"/>
          </w:tcPr>
          <w:p w14:paraId="3ECB03EA" w14:textId="77777777" w:rsidR="004E3F5F" w:rsidRPr="004E3F5F" w:rsidRDefault="004E3F5F" w:rsidP="004E3F5F">
            <w:pPr>
              <w:spacing w:before="40"/>
              <w:outlineLvl w:val="0"/>
              <w:rPr>
                <w:rFonts w:ascii="Arial" w:hAnsi="Arial" w:cs="Arial"/>
                <w:b/>
                <w:sz w:val="18"/>
                <w:szCs w:val="18"/>
              </w:rPr>
            </w:pPr>
            <w:r w:rsidRPr="004E3F5F">
              <w:rPr>
                <w:rFonts w:ascii="Arial" w:hAnsi="Arial" w:cs="Arial"/>
                <w:b/>
                <w:sz w:val="18"/>
                <w:szCs w:val="18"/>
              </w:rPr>
              <w:t>IČZ:</w:t>
            </w:r>
          </w:p>
        </w:tc>
        <w:tc>
          <w:tcPr>
            <w:tcW w:w="5777" w:type="dxa"/>
            <w:shd w:val="clear" w:color="auto" w:fill="auto"/>
          </w:tcPr>
          <w:p w14:paraId="0D61EB99" w14:textId="77777777" w:rsidR="004E3F5F" w:rsidRPr="004E3F5F" w:rsidRDefault="004E3F5F" w:rsidP="004E3F5F">
            <w:pPr>
              <w:spacing w:before="40"/>
              <w:outlineLvl w:val="0"/>
              <w:rPr>
                <w:rFonts w:ascii="Arial" w:hAnsi="Arial" w:cs="Arial"/>
                <w:sz w:val="18"/>
                <w:szCs w:val="18"/>
              </w:rPr>
            </w:pPr>
          </w:p>
        </w:tc>
      </w:tr>
    </w:tbl>
    <w:p w14:paraId="615B5BB9" w14:textId="77777777" w:rsidR="004E3F5F" w:rsidRPr="004E3F5F" w:rsidRDefault="004E3F5F" w:rsidP="004E3F5F">
      <w:pPr>
        <w:overflowPunct w:val="0"/>
        <w:autoSpaceDE w:val="0"/>
        <w:autoSpaceDN w:val="0"/>
        <w:adjustRightInd w:val="0"/>
        <w:spacing w:before="120" w:after="0" w:line="240" w:lineRule="auto"/>
        <w:ind w:left="2517" w:hanging="2517"/>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(dále jen „</w:t>
      </w:r>
      <w:r w:rsidRPr="004E3F5F">
        <w:rPr>
          <w:rFonts w:ascii="Arial" w:eastAsia="Times New Roman" w:hAnsi="Arial" w:cs="Arial"/>
          <w:b/>
          <w:sz w:val="18"/>
          <w:szCs w:val="18"/>
          <w:lang w:eastAsia="cs-CZ"/>
        </w:rPr>
        <w:t>Poskytovatel</w:t>
      </w:r>
      <w:r w:rsidRPr="004E3F5F">
        <w:rPr>
          <w:rFonts w:ascii="Arial" w:eastAsia="Times New Roman" w:hAnsi="Arial" w:cs="Arial"/>
          <w:sz w:val="18"/>
          <w:szCs w:val="18"/>
          <w:lang w:eastAsia="cs-CZ"/>
        </w:rPr>
        <w:t>“) na straně jedné</w:t>
      </w:r>
    </w:p>
    <w:p w14:paraId="08DAC09F" w14:textId="77777777" w:rsidR="004E3F5F" w:rsidRPr="004E3F5F" w:rsidRDefault="004E3F5F" w:rsidP="004E3F5F">
      <w:pPr>
        <w:overflowPunct w:val="0"/>
        <w:autoSpaceDE w:val="0"/>
        <w:autoSpaceDN w:val="0"/>
        <w:adjustRightInd w:val="0"/>
        <w:spacing w:before="240" w:after="240" w:line="240" w:lineRule="auto"/>
        <w:ind w:left="2517" w:hanging="2517"/>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a</w:t>
      </w: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777"/>
      </w:tblGrid>
      <w:tr w:rsidR="004E3F5F" w:rsidRPr="004E3F5F" w14:paraId="180533E7" w14:textId="77777777" w:rsidTr="00891360">
        <w:trPr>
          <w:cnfStyle w:val="100000000000" w:firstRow="1" w:lastRow="0" w:firstColumn="0" w:lastColumn="0" w:oddVBand="0" w:evenVBand="0" w:oddHBand="0" w:evenHBand="0" w:firstRowFirstColumn="0" w:firstRowLastColumn="0" w:lastRowFirstColumn="0" w:lastRowLastColumn="0"/>
          <w:trHeight w:hRule="exact" w:val="397"/>
        </w:trPr>
        <w:tc>
          <w:tcPr>
            <w:tcW w:w="9287" w:type="dxa"/>
            <w:gridSpan w:val="2"/>
            <w:shd w:val="clear" w:color="auto" w:fill="auto"/>
            <w:vAlign w:val="center"/>
          </w:tcPr>
          <w:p w14:paraId="4B1C4EBB" w14:textId="77777777" w:rsidR="004E3F5F" w:rsidRPr="004E3F5F" w:rsidRDefault="004E3F5F" w:rsidP="004E3F5F">
            <w:pPr>
              <w:rPr>
                <w:rFonts w:ascii="Arial" w:hAnsi="Arial" w:cs="Arial"/>
                <w:sz w:val="18"/>
                <w:szCs w:val="18"/>
              </w:rPr>
            </w:pPr>
            <w:r w:rsidRPr="004E3F5F">
              <w:rPr>
                <w:rFonts w:ascii="Arial" w:hAnsi="Arial" w:cs="Arial"/>
                <w:sz w:val="18"/>
                <w:szCs w:val="18"/>
              </w:rPr>
              <w:t>Všeobecná zdravotní pojišťovna České republiky</w:t>
            </w:r>
          </w:p>
        </w:tc>
      </w:tr>
      <w:tr w:rsidR="004E3F5F" w:rsidRPr="004E3F5F" w14:paraId="28082366" w14:textId="77777777" w:rsidTr="00891360">
        <w:trPr>
          <w:cnfStyle w:val="000000100000" w:firstRow="0" w:lastRow="0" w:firstColumn="0" w:lastColumn="0" w:oddVBand="0" w:evenVBand="0" w:oddHBand="1" w:evenHBand="0" w:firstRowFirstColumn="0" w:firstRowLastColumn="0" w:lastRowFirstColumn="0" w:lastRowLastColumn="0"/>
          <w:trHeight w:hRule="exact" w:val="284"/>
        </w:trPr>
        <w:tc>
          <w:tcPr>
            <w:tcW w:w="3510" w:type="dxa"/>
            <w:shd w:val="clear" w:color="auto" w:fill="auto"/>
            <w:vAlign w:val="center"/>
          </w:tcPr>
          <w:p w14:paraId="1AA4E1D6" w14:textId="77777777" w:rsidR="004E3F5F" w:rsidRPr="004E3F5F" w:rsidRDefault="004E3F5F" w:rsidP="004E3F5F">
            <w:pPr>
              <w:rPr>
                <w:rFonts w:ascii="Arial" w:hAnsi="Arial" w:cs="Arial"/>
                <w:b/>
                <w:sz w:val="18"/>
                <w:szCs w:val="18"/>
              </w:rPr>
            </w:pPr>
            <w:r w:rsidRPr="004E3F5F">
              <w:rPr>
                <w:rFonts w:ascii="Arial" w:hAnsi="Arial" w:cs="Arial"/>
                <w:b/>
                <w:sz w:val="18"/>
                <w:szCs w:val="18"/>
              </w:rPr>
              <w:t xml:space="preserve">Sídlo: </w:t>
            </w:r>
          </w:p>
        </w:tc>
        <w:tc>
          <w:tcPr>
            <w:tcW w:w="5777" w:type="dxa"/>
            <w:shd w:val="clear" w:color="auto" w:fill="auto"/>
            <w:vAlign w:val="center"/>
          </w:tcPr>
          <w:p w14:paraId="42789C12" w14:textId="77777777" w:rsidR="004E3F5F" w:rsidRPr="004E3F5F" w:rsidRDefault="004E3F5F" w:rsidP="004E3F5F">
            <w:pPr>
              <w:rPr>
                <w:rFonts w:ascii="Arial" w:hAnsi="Arial" w:cs="Arial"/>
                <w:sz w:val="18"/>
                <w:szCs w:val="18"/>
              </w:rPr>
            </w:pPr>
            <w:r w:rsidRPr="004E3F5F">
              <w:rPr>
                <w:rFonts w:ascii="Arial" w:hAnsi="Arial" w:cs="Arial"/>
                <w:sz w:val="18"/>
                <w:szCs w:val="18"/>
              </w:rPr>
              <w:t>Orlická 4/2020, Praha 3, 130 00</w:t>
            </w:r>
          </w:p>
        </w:tc>
      </w:tr>
      <w:tr w:rsidR="004E3F5F" w:rsidRPr="004E3F5F" w14:paraId="72DD64B8" w14:textId="77777777" w:rsidTr="00891360">
        <w:trPr>
          <w:cnfStyle w:val="000000010000" w:firstRow="0" w:lastRow="0" w:firstColumn="0" w:lastColumn="0" w:oddVBand="0" w:evenVBand="0" w:oddHBand="0" w:evenHBand="1" w:firstRowFirstColumn="0" w:firstRowLastColumn="0" w:lastRowFirstColumn="0" w:lastRowLastColumn="0"/>
          <w:trHeight w:hRule="exact" w:val="284"/>
        </w:trPr>
        <w:tc>
          <w:tcPr>
            <w:tcW w:w="3510" w:type="dxa"/>
            <w:tcBorders>
              <w:bottom w:val="single" w:sz="4" w:space="0" w:color="auto"/>
            </w:tcBorders>
            <w:shd w:val="clear" w:color="auto" w:fill="auto"/>
            <w:vAlign w:val="center"/>
          </w:tcPr>
          <w:p w14:paraId="5B42D71F" w14:textId="77777777" w:rsidR="004E3F5F" w:rsidRPr="004E3F5F" w:rsidRDefault="004E3F5F" w:rsidP="004E3F5F">
            <w:pPr>
              <w:rPr>
                <w:rFonts w:ascii="Arial" w:hAnsi="Arial" w:cs="Arial"/>
                <w:b/>
                <w:sz w:val="18"/>
                <w:szCs w:val="18"/>
              </w:rPr>
            </w:pPr>
            <w:r w:rsidRPr="004E3F5F">
              <w:rPr>
                <w:rFonts w:ascii="Arial" w:hAnsi="Arial" w:cs="Arial"/>
                <w:b/>
                <w:sz w:val="18"/>
                <w:szCs w:val="18"/>
              </w:rPr>
              <w:t xml:space="preserve">IČ: </w:t>
            </w:r>
          </w:p>
        </w:tc>
        <w:tc>
          <w:tcPr>
            <w:tcW w:w="5777" w:type="dxa"/>
            <w:tcBorders>
              <w:bottom w:val="single" w:sz="4" w:space="0" w:color="auto"/>
            </w:tcBorders>
            <w:shd w:val="clear" w:color="auto" w:fill="auto"/>
            <w:vAlign w:val="center"/>
          </w:tcPr>
          <w:p w14:paraId="2E439CA6" w14:textId="77777777" w:rsidR="004E3F5F" w:rsidRPr="004E3F5F" w:rsidRDefault="004E3F5F" w:rsidP="004E3F5F">
            <w:pPr>
              <w:rPr>
                <w:rFonts w:ascii="Arial" w:hAnsi="Arial" w:cs="Arial"/>
                <w:sz w:val="18"/>
                <w:szCs w:val="18"/>
              </w:rPr>
            </w:pPr>
            <w:r w:rsidRPr="004E3F5F">
              <w:rPr>
                <w:rFonts w:ascii="Arial" w:hAnsi="Arial" w:cs="Arial"/>
                <w:sz w:val="18"/>
                <w:szCs w:val="18"/>
              </w:rPr>
              <w:t>41197518</w:t>
            </w:r>
          </w:p>
        </w:tc>
      </w:tr>
      <w:tr w:rsidR="004E3F5F" w:rsidRPr="004E3F5F" w14:paraId="39743514" w14:textId="77777777" w:rsidTr="00891360">
        <w:trPr>
          <w:cnfStyle w:val="000000100000" w:firstRow="0" w:lastRow="0" w:firstColumn="0" w:lastColumn="0" w:oddVBand="0" w:evenVBand="0" w:oddHBand="1" w:evenHBand="0" w:firstRowFirstColumn="0" w:firstRowLastColumn="0" w:lastRowFirstColumn="0" w:lastRowLastColumn="0"/>
          <w:trHeight w:hRule="exact" w:val="284"/>
        </w:trPr>
        <w:tc>
          <w:tcPr>
            <w:tcW w:w="9287" w:type="dxa"/>
            <w:gridSpan w:val="2"/>
            <w:shd w:val="clear" w:color="auto" w:fill="auto"/>
          </w:tcPr>
          <w:p w14:paraId="326DCD92" w14:textId="77777777" w:rsidR="004E3F5F" w:rsidRPr="004E3F5F" w:rsidRDefault="004E3F5F" w:rsidP="004E3F5F">
            <w:pPr>
              <w:spacing w:before="40"/>
              <w:rPr>
                <w:rFonts w:ascii="Arial" w:hAnsi="Arial" w:cs="Arial"/>
                <w:b/>
                <w:sz w:val="18"/>
                <w:szCs w:val="18"/>
              </w:rPr>
            </w:pPr>
            <w:r w:rsidRPr="004E3F5F">
              <w:rPr>
                <w:rFonts w:ascii="Arial" w:hAnsi="Arial" w:cs="Arial"/>
                <w:b/>
                <w:sz w:val="18"/>
                <w:szCs w:val="18"/>
              </w:rPr>
              <w:t>Regionální pobočka …</w:t>
            </w:r>
            <w:proofErr w:type="gramStart"/>
            <w:r w:rsidRPr="004E3F5F">
              <w:rPr>
                <w:rFonts w:ascii="Arial" w:hAnsi="Arial" w:cs="Arial"/>
                <w:b/>
                <w:sz w:val="18"/>
                <w:szCs w:val="18"/>
              </w:rPr>
              <w:t>…….</w:t>
            </w:r>
            <w:proofErr w:type="gramEnd"/>
            <w:r w:rsidRPr="004E3F5F">
              <w:rPr>
                <w:rFonts w:ascii="Arial" w:hAnsi="Arial" w:cs="Arial"/>
                <w:b/>
                <w:sz w:val="18"/>
                <w:szCs w:val="18"/>
              </w:rPr>
              <w:t>., pobočka pro ………….</w:t>
            </w:r>
          </w:p>
        </w:tc>
      </w:tr>
      <w:tr w:rsidR="004E3F5F" w:rsidRPr="004E3F5F" w14:paraId="37BFA64B" w14:textId="77777777" w:rsidTr="00891360">
        <w:trPr>
          <w:cnfStyle w:val="000000010000" w:firstRow="0" w:lastRow="0" w:firstColumn="0" w:lastColumn="0" w:oddVBand="0" w:evenVBand="0" w:oddHBand="0" w:evenHBand="1" w:firstRowFirstColumn="0" w:firstRowLastColumn="0" w:lastRowFirstColumn="0" w:lastRowLastColumn="0"/>
          <w:trHeight w:hRule="exact" w:val="851"/>
        </w:trPr>
        <w:tc>
          <w:tcPr>
            <w:tcW w:w="3510" w:type="dxa"/>
            <w:shd w:val="clear" w:color="auto" w:fill="auto"/>
            <w:vAlign w:val="center"/>
          </w:tcPr>
          <w:p w14:paraId="3A250E57" w14:textId="77777777" w:rsidR="004E3F5F" w:rsidRPr="004E3F5F" w:rsidRDefault="004E3F5F" w:rsidP="004E3F5F">
            <w:pPr>
              <w:spacing w:before="40"/>
              <w:rPr>
                <w:rFonts w:ascii="Arial" w:hAnsi="Arial" w:cs="Arial"/>
                <w:b/>
                <w:sz w:val="18"/>
                <w:szCs w:val="18"/>
              </w:rPr>
            </w:pPr>
            <w:r w:rsidRPr="004E3F5F">
              <w:rPr>
                <w:rFonts w:ascii="Arial" w:hAnsi="Arial" w:cs="Arial"/>
                <w:b/>
                <w:sz w:val="18"/>
                <w:szCs w:val="18"/>
              </w:rPr>
              <w:t xml:space="preserve">Zastoupená </w:t>
            </w:r>
          </w:p>
          <w:p w14:paraId="3AA403C9" w14:textId="77777777" w:rsidR="004E3F5F" w:rsidRPr="004E3F5F" w:rsidRDefault="004E3F5F" w:rsidP="004E3F5F">
            <w:pPr>
              <w:spacing w:before="40"/>
              <w:rPr>
                <w:rFonts w:ascii="Arial" w:hAnsi="Arial" w:cs="Arial"/>
                <w:b/>
                <w:sz w:val="18"/>
                <w:szCs w:val="18"/>
              </w:rPr>
            </w:pPr>
            <w:r w:rsidRPr="004E3F5F">
              <w:rPr>
                <w:rFonts w:ascii="Arial" w:hAnsi="Arial" w:cs="Arial"/>
                <w:b/>
                <w:sz w:val="18"/>
                <w:szCs w:val="18"/>
              </w:rPr>
              <w:t xml:space="preserve">(jméno a funkce): </w:t>
            </w:r>
          </w:p>
        </w:tc>
        <w:tc>
          <w:tcPr>
            <w:tcW w:w="5777" w:type="dxa"/>
            <w:shd w:val="clear" w:color="auto" w:fill="auto"/>
            <w:vAlign w:val="center"/>
          </w:tcPr>
          <w:p w14:paraId="41320A3D" w14:textId="77777777" w:rsidR="004E3F5F" w:rsidRPr="004E3F5F" w:rsidRDefault="004E3F5F" w:rsidP="004E3F5F">
            <w:pPr>
              <w:spacing w:before="40"/>
              <w:rPr>
                <w:rFonts w:ascii="Arial" w:hAnsi="Arial" w:cs="Arial"/>
                <w:sz w:val="18"/>
                <w:szCs w:val="18"/>
              </w:rPr>
            </w:pPr>
          </w:p>
        </w:tc>
      </w:tr>
      <w:tr w:rsidR="004E3F5F" w:rsidRPr="004E3F5F" w14:paraId="16F5ACA3" w14:textId="77777777" w:rsidTr="00891360">
        <w:trPr>
          <w:cnfStyle w:val="000000100000" w:firstRow="0" w:lastRow="0" w:firstColumn="0" w:lastColumn="0" w:oddVBand="0" w:evenVBand="0" w:oddHBand="1" w:evenHBand="0" w:firstRowFirstColumn="0" w:firstRowLastColumn="0" w:lastRowFirstColumn="0" w:lastRowLastColumn="0"/>
          <w:trHeight w:hRule="exact" w:val="284"/>
        </w:trPr>
        <w:tc>
          <w:tcPr>
            <w:tcW w:w="3510" w:type="dxa"/>
            <w:shd w:val="clear" w:color="auto" w:fill="auto"/>
          </w:tcPr>
          <w:p w14:paraId="4E5B66CF" w14:textId="77777777" w:rsidR="004E3F5F" w:rsidRPr="004E3F5F" w:rsidRDefault="004E3F5F" w:rsidP="004E3F5F">
            <w:pPr>
              <w:spacing w:before="40"/>
              <w:rPr>
                <w:rFonts w:ascii="Arial" w:hAnsi="Arial" w:cs="Arial"/>
                <w:b/>
                <w:sz w:val="18"/>
                <w:szCs w:val="18"/>
              </w:rPr>
            </w:pPr>
            <w:r w:rsidRPr="004E3F5F">
              <w:rPr>
                <w:rFonts w:ascii="Arial" w:hAnsi="Arial" w:cs="Arial"/>
                <w:b/>
                <w:sz w:val="18"/>
                <w:szCs w:val="18"/>
              </w:rPr>
              <w:t xml:space="preserve">Doručovací adresa (obec):  </w:t>
            </w:r>
          </w:p>
        </w:tc>
        <w:tc>
          <w:tcPr>
            <w:tcW w:w="5777" w:type="dxa"/>
            <w:shd w:val="clear" w:color="auto" w:fill="auto"/>
          </w:tcPr>
          <w:p w14:paraId="2383EBB1" w14:textId="77777777" w:rsidR="004E3F5F" w:rsidRPr="004E3F5F" w:rsidRDefault="004E3F5F" w:rsidP="004E3F5F">
            <w:pPr>
              <w:spacing w:before="40"/>
              <w:rPr>
                <w:rFonts w:ascii="Arial" w:hAnsi="Arial" w:cs="Arial"/>
                <w:sz w:val="18"/>
                <w:szCs w:val="18"/>
              </w:rPr>
            </w:pPr>
          </w:p>
        </w:tc>
      </w:tr>
      <w:tr w:rsidR="004E3F5F" w:rsidRPr="004E3F5F" w14:paraId="5258B538" w14:textId="77777777" w:rsidTr="00891360">
        <w:trPr>
          <w:cnfStyle w:val="000000010000" w:firstRow="0" w:lastRow="0" w:firstColumn="0" w:lastColumn="0" w:oddVBand="0" w:evenVBand="0" w:oddHBand="0" w:evenHBand="1" w:firstRowFirstColumn="0" w:firstRowLastColumn="0" w:lastRowFirstColumn="0" w:lastRowLastColumn="0"/>
          <w:trHeight w:hRule="exact" w:val="284"/>
        </w:trPr>
        <w:tc>
          <w:tcPr>
            <w:tcW w:w="3510" w:type="dxa"/>
            <w:shd w:val="clear" w:color="auto" w:fill="auto"/>
          </w:tcPr>
          <w:p w14:paraId="69EC99B1" w14:textId="77777777" w:rsidR="004E3F5F" w:rsidRPr="004E3F5F" w:rsidRDefault="004E3F5F" w:rsidP="004E3F5F">
            <w:pPr>
              <w:spacing w:before="40"/>
              <w:rPr>
                <w:rFonts w:ascii="Arial" w:hAnsi="Arial" w:cs="Arial"/>
                <w:b/>
                <w:sz w:val="18"/>
                <w:szCs w:val="18"/>
              </w:rPr>
            </w:pPr>
            <w:r w:rsidRPr="004E3F5F">
              <w:rPr>
                <w:rFonts w:ascii="Arial" w:hAnsi="Arial" w:cs="Arial"/>
                <w:b/>
                <w:sz w:val="18"/>
                <w:szCs w:val="18"/>
              </w:rPr>
              <w:t>Ulice, č.p., PSČ:</w:t>
            </w:r>
          </w:p>
        </w:tc>
        <w:tc>
          <w:tcPr>
            <w:tcW w:w="5777" w:type="dxa"/>
            <w:shd w:val="clear" w:color="auto" w:fill="auto"/>
          </w:tcPr>
          <w:p w14:paraId="34D10926" w14:textId="77777777" w:rsidR="004E3F5F" w:rsidRPr="004E3F5F" w:rsidRDefault="004E3F5F" w:rsidP="004E3F5F">
            <w:pPr>
              <w:spacing w:before="40"/>
              <w:rPr>
                <w:rFonts w:ascii="Arial" w:hAnsi="Arial" w:cs="Arial"/>
                <w:sz w:val="18"/>
                <w:szCs w:val="18"/>
              </w:rPr>
            </w:pPr>
          </w:p>
        </w:tc>
      </w:tr>
    </w:tbl>
    <w:p w14:paraId="302D0AF3" w14:textId="77777777" w:rsidR="004E3F5F" w:rsidRPr="004E3F5F" w:rsidRDefault="004E3F5F" w:rsidP="004E3F5F">
      <w:pPr>
        <w:overflowPunct w:val="0"/>
        <w:autoSpaceDE w:val="0"/>
        <w:autoSpaceDN w:val="0"/>
        <w:adjustRightInd w:val="0"/>
        <w:spacing w:before="120" w:after="0" w:line="240" w:lineRule="auto"/>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(dále jen „</w:t>
      </w:r>
      <w:r w:rsidRPr="004E3F5F">
        <w:rPr>
          <w:rFonts w:ascii="Arial" w:eastAsia="Times New Roman" w:hAnsi="Arial" w:cs="Arial"/>
          <w:b/>
          <w:sz w:val="18"/>
          <w:szCs w:val="18"/>
          <w:lang w:eastAsia="cs-CZ"/>
        </w:rPr>
        <w:t>Pojišťovna</w:t>
      </w:r>
      <w:r w:rsidRPr="004E3F5F">
        <w:rPr>
          <w:rFonts w:ascii="Arial" w:eastAsia="Times New Roman" w:hAnsi="Arial" w:cs="Arial"/>
          <w:sz w:val="18"/>
          <w:szCs w:val="18"/>
          <w:lang w:eastAsia="cs-CZ"/>
        </w:rPr>
        <w:t>“) na straně druhé</w:t>
      </w:r>
    </w:p>
    <w:p w14:paraId="4B09CB71" w14:textId="77777777" w:rsidR="004E3F5F" w:rsidRPr="004E3F5F" w:rsidRDefault="004E3F5F" w:rsidP="004E3F5F">
      <w:pPr>
        <w:tabs>
          <w:tab w:val="left" w:pos="-142"/>
          <w:tab w:val="left" w:pos="284"/>
        </w:tabs>
        <w:spacing w:before="480" w:after="120" w:line="240" w:lineRule="auto"/>
        <w:ind w:left="284" w:hanging="284"/>
        <w:jc w:val="center"/>
        <w:rPr>
          <w:rFonts w:ascii="Arial" w:eastAsia="Times New Roman" w:hAnsi="Arial" w:cs="Arial"/>
          <w:b/>
          <w:sz w:val="20"/>
          <w:szCs w:val="20"/>
          <w:lang w:eastAsia="cs-CZ"/>
        </w:rPr>
      </w:pPr>
      <w:r w:rsidRPr="004E3F5F">
        <w:rPr>
          <w:rFonts w:ascii="Arial" w:eastAsia="Times New Roman" w:hAnsi="Arial" w:cs="Arial"/>
          <w:b/>
          <w:sz w:val="20"/>
          <w:szCs w:val="20"/>
          <w:lang w:eastAsia="cs-CZ"/>
        </w:rPr>
        <w:t>Článek I.</w:t>
      </w:r>
    </w:p>
    <w:p w14:paraId="51CE8C9C" w14:textId="77777777" w:rsidR="004E3F5F" w:rsidRPr="004E3F5F" w:rsidRDefault="004E3F5F" w:rsidP="004E3F5F">
      <w:pPr>
        <w:numPr>
          <w:ilvl w:val="0"/>
          <w:numId w:val="5"/>
        </w:numPr>
        <w:tabs>
          <w:tab w:val="left" w:pos="0"/>
        </w:tabs>
        <w:overflowPunct w:val="0"/>
        <w:autoSpaceDE w:val="0"/>
        <w:autoSpaceDN w:val="0"/>
        <w:adjustRightInd w:val="0"/>
        <w:spacing w:after="120" w:line="240" w:lineRule="auto"/>
        <w:ind w:left="567" w:hanging="567"/>
        <w:jc w:val="both"/>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Smluvní strany se dohodly, že úhrada hrazených služeb poskytnutých pojištěncům Pojišťovny v období od 1. 1. 202</w:t>
      </w:r>
      <w:r w:rsidR="00D8516C">
        <w:rPr>
          <w:rFonts w:ascii="Arial" w:eastAsia="Times New Roman" w:hAnsi="Arial" w:cs="Arial"/>
          <w:sz w:val="18"/>
          <w:szCs w:val="18"/>
          <w:lang w:eastAsia="cs-CZ"/>
        </w:rPr>
        <w:t>2</w:t>
      </w:r>
      <w:r w:rsidRPr="004E3F5F">
        <w:rPr>
          <w:rFonts w:ascii="Arial" w:eastAsia="Times New Roman" w:hAnsi="Arial" w:cs="Arial"/>
          <w:sz w:val="18"/>
          <w:szCs w:val="18"/>
          <w:lang w:eastAsia="cs-CZ"/>
        </w:rPr>
        <w:t xml:space="preserve"> do 31. 12. 202</w:t>
      </w:r>
      <w:r w:rsidR="00D8516C">
        <w:rPr>
          <w:rFonts w:ascii="Arial" w:eastAsia="Times New Roman" w:hAnsi="Arial" w:cs="Arial"/>
          <w:sz w:val="18"/>
          <w:szCs w:val="18"/>
          <w:lang w:eastAsia="cs-CZ"/>
        </w:rPr>
        <w:t>2</w:t>
      </w:r>
      <w:r w:rsidRPr="004E3F5F">
        <w:rPr>
          <w:rFonts w:ascii="Arial" w:eastAsia="Times New Roman" w:hAnsi="Arial" w:cs="Arial"/>
          <w:sz w:val="18"/>
          <w:szCs w:val="18"/>
          <w:lang w:eastAsia="cs-CZ"/>
        </w:rPr>
        <w:t xml:space="preserve"> bude prováděna způsobem a ve výši odpovídající vyhlášce č. </w:t>
      </w:r>
      <w:r w:rsidR="00D8516C">
        <w:rPr>
          <w:rFonts w:ascii="Arial" w:eastAsia="Times New Roman" w:hAnsi="Arial" w:cs="Arial"/>
          <w:sz w:val="18"/>
          <w:szCs w:val="18"/>
          <w:lang w:eastAsia="cs-CZ"/>
        </w:rPr>
        <w:t>396</w:t>
      </w:r>
      <w:r w:rsidRPr="004E3F5F">
        <w:rPr>
          <w:rFonts w:ascii="Arial" w:eastAsia="Times New Roman" w:hAnsi="Arial" w:cs="Arial"/>
          <w:sz w:val="18"/>
          <w:szCs w:val="18"/>
          <w:lang w:eastAsia="cs-CZ"/>
        </w:rPr>
        <w:t>/20</w:t>
      </w:r>
      <w:r w:rsidR="000F2817">
        <w:rPr>
          <w:rFonts w:ascii="Arial" w:eastAsia="Times New Roman" w:hAnsi="Arial" w:cs="Arial"/>
          <w:sz w:val="18"/>
          <w:szCs w:val="18"/>
          <w:lang w:eastAsia="cs-CZ"/>
        </w:rPr>
        <w:t>2</w:t>
      </w:r>
      <w:r w:rsidR="00D8516C">
        <w:rPr>
          <w:rFonts w:ascii="Arial" w:eastAsia="Times New Roman" w:hAnsi="Arial" w:cs="Arial"/>
          <w:sz w:val="18"/>
          <w:szCs w:val="18"/>
          <w:lang w:eastAsia="cs-CZ"/>
        </w:rPr>
        <w:t>1</w:t>
      </w:r>
      <w:r w:rsidRPr="004E3F5F">
        <w:rPr>
          <w:rFonts w:ascii="Arial" w:eastAsia="Times New Roman" w:hAnsi="Arial" w:cs="Arial"/>
          <w:sz w:val="18"/>
          <w:szCs w:val="18"/>
          <w:lang w:eastAsia="cs-CZ"/>
        </w:rPr>
        <w:t xml:space="preserve"> Sb., o stanovení hodnot bodu, výše úhrad hrazených služeb a regulačních omezení pro rok 202</w:t>
      </w:r>
      <w:r w:rsidR="00D8516C">
        <w:rPr>
          <w:rFonts w:ascii="Arial" w:eastAsia="Times New Roman" w:hAnsi="Arial" w:cs="Arial"/>
          <w:sz w:val="18"/>
          <w:szCs w:val="18"/>
          <w:lang w:eastAsia="cs-CZ"/>
        </w:rPr>
        <w:t>2</w:t>
      </w:r>
      <w:r w:rsidRPr="004E3F5F">
        <w:rPr>
          <w:rFonts w:ascii="Arial" w:eastAsia="Times New Roman" w:hAnsi="Arial" w:cs="Arial"/>
          <w:sz w:val="18"/>
          <w:szCs w:val="18"/>
          <w:lang w:eastAsia="cs-CZ"/>
        </w:rPr>
        <w:t xml:space="preserve"> (dále jen „vyhláška“) s výjimkou dohodnutou v souladu s § 17 odst. 5 větou šestou zákona č. 48/1997 Sb., o</w:t>
      </w:r>
      <w:r w:rsidR="00BE1752">
        <w:rPr>
          <w:rFonts w:ascii="Arial" w:eastAsia="Times New Roman" w:hAnsi="Arial" w:cs="Arial"/>
          <w:sz w:val="18"/>
          <w:szCs w:val="18"/>
          <w:lang w:eastAsia="cs-CZ"/>
        </w:rPr>
        <w:t> </w:t>
      </w:r>
      <w:r w:rsidRPr="004E3F5F">
        <w:rPr>
          <w:rFonts w:ascii="Arial" w:eastAsia="Times New Roman" w:hAnsi="Arial" w:cs="Arial"/>
          <w:sz w:val="18"/>
          <w:szCs w:val="18"/>
          <w:lang w:eastAsia="cs-CZ"/>
        </w:rPr>
        <w:t xml:space="preserve">veřejném zdravotním pojištění a o změně a doplnění některých souvisejících zákonů, ve znění pozdějších předpisů (dále jen „ZVZP“), uvedenou v článku II. odst. 1 až </w:t>
      </w:r>
      <w:r w:rsidR="00011FB8">
        <w:rPr>
          <w:rFonts w:ascii="Arial" w:eastAsia="Times New Roman" w:hAnsi="Arial" w:cs="Arial"/>
          <w:sz w:val="18"/>
          <w:szCs w:val="18"/>
          <w:lang w:eastAsia="cs-CZ"/>
        </w:rPr>
        <w:t>4</w:t>
      </w:r>
      <w:r w:rsidRPr="004E3F5F">
        <w:rPr>
          <w:rFonts w:ascii="Arial" w:eastAsia="Times New Roman" w:hAnsi="Arial" w:cs="Arial"/>
          <w:sz w:val="18"/>
          <w:szCs w:val="18"/>
          <w:lang w:eastAsia="cs-CZ"/>
        </w:rPr>
        <w:t xml:space="preserve"> </w:t>
      </w:r>
      <w:r w:rsidR="00E9728F">
        <w:rPr>
          <w:rFonts w:ascii="Arial" w:eastAsia="Times New Roman" w:hAnsi="Arial" w:cs="Arial"/>
          <w:sz w:val="18"/>
          <w:szCs w:val="18"/>
          <w:lang w:eastAsia="cs-CZ"/>
        </w:rPr>
        <w:t xml:space="preserve">a článku III. </w:t>
      </w:r>
      <w:r w:rsidRPr="004E3F5F">
        <w:rPr>
          <w:rFonts w:ascii="Arial" w:eastAsia="Times New Roman" w:hAnsi="Arial" w:cs="Arial"/>
          <w:sz w:val="18"/>
          <w:szCs w:val="18"/>
          <w:lang w:eastAsia="cs-CZ"/>
        </w:rPr>
        <w:t>tohoto Dodatku.</w:t>
      </w:r>
    </w:p>
    <w:p w14:paraId="7BF51F59" w14:textId="77777777" w:rsidR="004E3F5F" w:rsidRPr="004E3F5F" w:rsidRDefault="004E3F5F" w:rsidP="004E3F5F">
      <w:pPr>
        <w:numPr>
          <w:ilvl w:val="0"/>
          <w:numId w:val="5"/>
        </w:numPr>
        <w:tabs>
          <w:tab w:val="left" w:pos="0"/>
        </w:tabs>
        <w:overflowPunct w:val="0"/>
        <w:autoSpaceDE w:val="0"/>
        <w:autoSpaceDN w:val="0"/>
        <w:adjustRightInd w:val="0"/>
        <w:spacing w:before="120" w:after="0" w:line="240" w:lineRule="auto"/>
        <w:ind w:left="567" w:hanging="567"/>
        <w:jc w:val="both"/>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 xml:space="preserve">Smluvní strany prohlašují, že dohoda uvedená v článku II. odst. 1 až </w:t>
      </w:r>
      <w:r w:rsidR="00011FB8">
        <w:rPr>
          <w:rFonts w:ascii="Arial" w:eastAsia="Times New Roman" w:hAnsi="Arial" w:cs="Arial"/>
          <w:sz w:val="18"/>
          <w:szCs w:val="18"/>
          <w:lang w:eastAsia="cs-CZ"/>
        </w:rPr>
        <w:t>4</w:t>
      </w:r>
      <w:r w:rsidRPr="004E3F5F">
        <w:rPr>
          <w:rFonts w:ascii="Arial" w:eastAsia="Times New Roman" w:hAnsi="Arial" w:cs="Arial"/>
          <w:sz w:val="18"/>
          <w:szCs w:val="18"/>
          <w:lang w:eastAsia="cs-CZ"/>
        </w:rPr>
        <w:t xml:space="preserve"> </w:t>
      </w:r>
      <w:r w:rsidR="00E9728F">
        <w:rPr>
          <w:rFonts w:ascii="Arial" w:eastAsia="Times New Roman" w:hAnsi="Arial" w:cs="Arial"/>
          <w:sz w:val="18"/>
          <w:szCs w:val="18"/>
          <w:lang w:eastAsia="cs-CZ"/>
        </w:rPr>
        <w:t xml:space="preserve">a článku III. </w:t>
      </w:r>
      <w:r w:rsidRPr="004E3F5F">
        <w:rPr>
          <w:rFonts w:ascii="Arial" w:eastAsia="Times New Roman" w:hAnsi="Arial" w:cs="Arial"/>
          <w:sz w:val="18"/>
          <w:szCs w:val="18"/>
          <w:lang w:eastAsia="cs-CZ"/>
        </w:rPr>
        <w:t>tohoto Dodatku upravuje způsob a</w:t>
      </w:r>
      <w:r w:rsidR="00BE1752">
        <w:rPr>
          <w:rFonts w:ascii="Arial" w:eastAsia="Times New Roman" w:hAnsi="Arial" w:cs="Arial"/>
          <w:sz w:val="18"/>
          <w:szCs w:val="18"/>
          <w:lang w:eastAsia="cs-CZ"/>
        </w:rPr>
        <w:t> </w:t>
      </w:r>
      <w:r w:rsidRPr="004E3F5F">
        <w:rPr>
          <w:rFonts w:ascii="Arial" w:eastAsia="Times New Roman" w:hAnsi="Arial" w:cs="Arial"/>
          <w:sz w:val="18"/>
          <w:szCs w:val="18"/>
          <w:lang w:eastAsia="cs-CZ"/>
        </w:rPr>
        <w:t>výši úhrady jiným způsobem, než jak pro výše uvedené období stanoví vyhláška. Tímto prohlášením a</w:t>
      </w:r>
      <w:r w:rsidR="00BE1752">
        <w:rPr>
          <w:rFonts w:ascii="Arial" w:eastAsia="Times New Roman" w:hAnsi="Arial" w:cs="Arial"/>
          <w:sz w:val="18"/>
          <w:szCs w:val="18"/>
          <w:lang w:eastAsia="cs-CZ"/>
        </w:rPr>
        <w:t> </w:t>
      </w:r>
      <w:r w:rsidRPr="004E3F5F">
        <w:rPr>
          <w:rFonts w:ascii="Arial" w:eastAsia="Times New Roman" w:hAnsi="Arial" w:cs="Arial"/>
          <w:sz w:val="18"/>
          <w:szCs w:val="18"/>
          <w:lang w:eastAsia="cs-CZ"/>
        </w:rPr>
        <w:t>zveřejněním tohoto Dodatku smluvní strany plní svou povinnost dle § 17 odst. 9 věty čtvrté ZVZP.</w:t>
      </w:r>
    </w:p>
    <w:p w14:paraId="05C0A201" w14:textId="77777777" w:rsidR="004E3F5F" w:rsidRPr="004E3F5F" w:rsidRDefault="004E3F5F" w:rsidP="004E3F5F">
      <w:pPr>
        <w:tabs>
          <w:tab w:val="left" w:pos="284"/>
        </w:tabs>
        <w:spacing w:before="240" w:after="120" w:line="240" w:lineRule="auto"/>
        <w:ind w:left="284" w:hanging="284"/>
        <w:jc w:val="center"/>
        <w:rPr>
          <w:rFonts w:ascii="Arial" w:eastAsia="Times New Roman" w:hAnsi="Arial" w:cs="Arial"/>
          <w:b/>
          <w:sz w:val="20"/>
          <w:szCs w:val="20"/>
          <w:lang w:eastAsia="cs-CZ"/>
        </w:rPr>
      </w:pPr>
    </w:p>
    <w:p w14:paraId="4A13BFD4" w14:textId="77777777" w:rsidR="004E3F5F" w:rsidRPr="004E3F5F" w:rsidRDefault="004E3F5F" w:rsidP="004E3F5F">
      <w:pPr>
        <w:tabs>
          <w:tab w:val="left" w:pos="284"/>
        </w:tabs>
        <w:spacing w:before="240" w:after="120" w:line="240" w:lineRule="auto"/>
        <w:ind w:left="284" w:hanging="284"/>
        <w:jc w:val="center"/>
        <w:rPr>
          <w:rFonts w:ascii="Arial" w:eastAsia="Times New Roman" w:hAnsi="Arial" w:cs="Arial"/>
          <w:b/>
          <w:sz w:val="20"/>
          <w:szCs w:val="20"/>
          <w:lang w:eastAsia="cs-CZ"/>
        </w:rPr>
      </w:pPr>
    </w:p>
    <w:p w14:paraId="72B2FC15" w14:textId="77777777" w:rsidR="006848E9" w:rsidRDefault="006848E9" w:rsidP="004E3F5F">
      <w:pPr>
        <w:tabs>
          <w:tab w:val="left" w:pos="284"/>
        </w:tabs>
        <w:spacing w:before="240" w:after="120" w:line="240" w:lineRule="auto"/>
        <w:ind w:left="284" w:hanging="284"/>
        <w:jc w:val="center"/>
        <w:rPr>
          <w:rFonts w:ascii="Arial" w:eastAsia="Times New Roman" w:hAnsi="Arial" w:cs="Arial"/>
          <w:b/>
          <w:sz w:val="20"/>
          <w:szCs w:val="20"/>
          <w:lang w:eastAsia="cs-CZ"/>
        </w:rPr>
      </w:pPr>
    </w:p>
    <w:p w14:paraId="577DAA30" w14:textId="77777777" w:rsidR="004E3F5F" w:rsidRPr="004E3F5F" w:rsidRDefault="004E3F5F" w:rsidP="004E3F5F">
      <w:pPr>
        <w:tabs>
          <w:tab w:val="left" w:pos="284"/>
        </w:tabs>
        <w:spacing w:before="240" w:after="120" w:line="240" w:lineRule="auto"/>
        <w:ind w:left="284" w:hanging="284"/>
        <w:jc w:val="center"/>
        <w:rPr>
          <w:rFonts w:ascii="Arial" w:eastAsia="Times New Roman" w:hAnsi="Arial" w:cs="Arial"/>
          <w:b/>
          <w:sz w:val="20"/>
          <w:szCs w:val="20"/>
          <w:lang w:eastAsia="cs-CZ"/>
        </w:rPr>
      </w:pPr>
      <w:r w:rsidRPr="004E3F5F">
        <w:rPr>
          <w:rFonts w:ascii="Arial" w:eastAsia="Times New Roman" w:hAnsi="Arial" w:cs="Arial"/>
          <w:b/>
          <w:sz w:val="20"/>
          <w:szCs w:val="20"/>
          <w:lang w:eastAsia="cs-CZ"/>
        </w:rPr>
        <w:t>Článek II.</w:t>
      </w:r>
    </w:p>
    <w:p w14:paraId="0AF6D752" w14:textId="77777777" w:rsidR="00384CCE" w:rsidRPr="003A6640" w:rsidRDefault="003D11A7" w:rsidP="003D11A7">
      <w:pPr>
        <w:numPr>
          <w:ilvl w:val="0"/>
          <w:numId w:val="4"/>
        </w:numPr>
        <w:tabs>
          <w:tab w:val="left" w:pos="567"/>
        </w:tabs>
        <w:overflowPunct w:val="0"/>
        <w:autoSpaceDE w:val="0"/>
        <w:autoSpaceDN w:val="0"/>
        <w:adjustRightInd w:val="0"/>
        <w:spacing w:before="120" w:after="0" w:line="240" w:lineRule="auto"/>
        <w:ind w:left="567" w:hanging="567"/>
        <w:jc w:val="both"/>
        <w:textAlignment w:val="baseline"/>
        <w:rPr>
          <w:rFonts w:ascii="Arial" w:eastAsia="Times New Roman" w:hAnsi="Arial" w:cs="Arial"/>
          <w:sz w:val="18"/>
          <w:szCs w:val="18"/>
          <w:lang w:eastAsia="cs-CZ"/>
        </w:rPr>
      </w:pPr>
      <w:r w:rsidRPr="003A6640">
        <w:rPr>
          <w:rFonts w:ascii="Arial" w:eastAsia="Times New Roman" w:hAnsi="Arial" w:cs="Arial"/>
          <w:sz w:val="18"/>
          <w:szCs w:val="18"/>
          <w:lang w:eastAsia="cs-CZ"/>
        </w:rPr>
        <w:t xml:space="preserve">Stomatologické výrobky </w:t>
      </w:r>
      <w:r w:rsidRPr="003A6640">
        <w:rPr>
          <w:rFonts w:ascii="Arial" w:eastAsia="Times New Roman" w:hAnsi="Arial" w:cs="Arial"/>
          <w:b/>
          <w:sz w:val="18"/>
          <w:szCs w:val="18"/>
          <w:lang w:eastAsia="cs-CZ"/>
        </w:rPr>
        <w:t>poskytnuté</w:t>
      </w:r>
      <w:r w:rsidRPr="003A6640">
        <w:rPr>
          <w:rFonts w:ascii="Arial" w:eastAsia="Times New Roman" w:hAnsi="Arial" w:cs="Arial"/>
          <w:sz w:val="18"/>
          <w:szCs w:val="18"/>
          <w:lang w:eastAsia="cs-CZ"/>
        </w:rPr>
        <w:t xml:space="preserve"> pojištěncům Pojišťovny </w:t>
      </w:r>
      <w:r w:rsidRPr="003A6640">
        <w:rPr>
          <w:rFonts w:ascii="Arial" w:eastAsia="Times New Roman" w:hAnsi="Arial" w:cs="Arial"/>
          <w:b/>
          <w:sz w:val="18"/>
          <w:szCs w:val="18"/>
          <w:lang w:eastAsia="cs-CZ"/>
        </w:rPr>
        <w:t>v období od 1. 1. 2022 do 31. 12. 2022</w:t>
      </w:r>
      <w:r w:rsidRPr="003A6640">
        <w:rPr>
          <w:rFonts w:ascii="Arial" w:eastAsia="Times New Roman" w:hAnsi="Arial" w:cs="Arial"/>
          <w:sz w:val="18"/>
          <w:szCs w:val="18"/>
          <w:lang w:eastAsia="cs-CZ"/>
        </w:rPr>
        <w:t xml:space="preserve"> budou hrazeny </w:t>
      </w:r>
      <w:r w:rsidR="00384CCE" w:rsidRPr="003A6640">
        <w:rPr>
          <w:rFonts w:ascii="Arial" w:eastAsia="Times New Roman" w:hAnsi="Arial" w:cs="Arial"/>
          <w:sz w:val="18"/>
          <w:szCs w:val="18"/>
          <w:lang w:eastAsia="cs-CZ"/>
        </w:rPr>
        <w:t xml:space="preserve">následujícím způsobem: </w:t>
      </w:r>
    </w:p>
    <w:p w14:paraId="3AAF1D23" w14:textId="77777777" w:rsidR="00384CCE" w:rsidRPr="003A6640" w:rsidRDefault="00384CCE" w:rsidP="00384CCE">
      <w:pPr>
        <w:tabs>
          <w:tab w:val="left" w:pos="567"/>
        </w:tabs>
        <w:overflowPunct w:val="0"/>
        <w:autoSpaceDE w:val="0"/>
        <w:autoSpaceDN w:val="0"/>
        <w:adjustRightInd w:val="0"/>
        <w:spacing w:before="120" w:after="0" w:line="240" w:lineRule="auto"/>
        <w:ind w:left="567"/>
        <w:jc w:val="both"/>
        <w:textAlignment w:val="baseline"/>
        <w:rPr>
          <w:rFonts w:ascii="Arial" w:eastAsia="Times New Roman" w:hAnsi="Arial" w:cs="Arial"/>
          <w:sz w:val="18"/>
          <w:szCs w:val="18"/>
          <w:lang w:eastAsia="cs-CZ"/>
        </w:rPr>
      </w:pPr>
      <w:r w:rsidRPr="003A6640">
        <w:rPr>
          <w:rFonts w:ascii="Arial" w:eastAsia="Times New Roman" w:hAnsi="Arial" w:cs="Arial"/>
          <w:b/>
          <w:sz w:val="18"/>
          <w:szCs w:val="18"/>
          <w:lang w:eastAsia="cs-CZ"/>
        </w:rPr>
        <w:t>a)</w:t>
      </w:r>
      <w:r w:rsidRPr="003A6640">
        <w:rPr>
          <w:rFonts w:ascii="Arial" w:eastAsia="Times New Roman" w:hAnsi="Arial" w:cs="Arial"/>
          <w:sz w:val="18"/>
          <w:szCs w:val="18"/>
          <w:lang w:eastAsia="cs-CZ"/>
        </w:rPr>
        <w:t xml:space="preserve"> </w:t>
      </w:r>
      <w:r w:rsidRPr="003A6640">
        <w:rPr>
          <w:rFonts w:ascii="Arial" w:eastAsia="Times New Roman" w:hAnsi="Arial" w:cs="Arial"/>
          <w:b/>
          <w:sz w:val="18"/>
          <w:szCs w:val="18"/>
          <w:lang w:eastAsia="cs-CZ"/>
        </w:rPr>
        <w:t>nejde-li o stomatologické výrobky uvedené v písm. b)</w:t>
      </w:r>
      <w:r w:rsidRPr="003A6640">
        <w:rPr>
          <w:rFonts w:ascii="Arial" w:eastAsia="Times New Roman" w:hAnsi="Arial" w:cs="Arial"/>
          <w:sz w:val="18"/>
          <w:szCs w:val="18"/>
          <w:lang w:eastAsia="cs-CZ"/>
        </w:rPr>
        <w:t>, platí že</w:t>
      </w:r>
      <w:r w:rsidR="00E607CC" w:rsidRPr="003A6640">
        <w:rPr>
          <w:rFonts w:ascii="Arial" w:eastAsia="Times New Roman" w:hAnsi="Arial" w:cs="Arial"/>
          <w:sz w:val="18"/>
          <w:szCs w:val="18"/>
          <w:lang w:eastAsia="cs-CZ"/>
        </w:rPr>
        <w:t>:</w:t>
      </w:r>
    </w:p>
    <w:p w14:paraId="6AFD91F7" w14:textId="77777777" w:rsidR="00384CCE" w:rsidRPr="003A6640" w:rsidRDefault="00384CCE" w:rsidP="00384CCE">
      <w:pPr>
        <w:tabs>
          <w:tab w:val="left" w:pos="567"/>
        </w:tabs>
        <w:overflowPunct w:val="0"/>
        <w:autoSpaceDE w:val="0"/>
        <w:autoSpaceDN w:val="0"/>
        <w:adjustRightInd w:val="0"/>
        <w:spacing w:before="120" w:after="0" w:line="240" w:lineRule="auto"/>
        <w:ind w:left="567"/>
        <w:jc w:val="both"/>
        <w:textAlignment w:val="baseline"/>
        <w:rPr>
          <w:rFonts w:ascii="Arial" w:eastAsia="Times New Roman" w:hAnsi="Arial" w:cs="Arial"/>
          <w:sz w:val="18"/>
          <w:szCs w:val="18"/>
          <w:lang w:eastAsia="cs-CZ"/>
        </w:rPr>
      </w:pPr>
      <w:r w:rsidRPr="003A6640">
        <w:rPr>
          <w:rFonts w:ascii="Arial" w:eastAsia="Times New Roman" w:hAnsi="Arial" w:cs="Arial"/>
          <w:sz w:val="18"/>
          <w:szCs w:val="18"/>
          <w:lang w:eastAsia="cs-CZ"/>
        </w:rPr>
        <w:t>● s</w:t>
      </w:r>
      <w:r w:rsidR="004E3F5F" w:rsidRPr="003A6640">
        <w:rPr>
          <w:rFonts w:ascii="Arial" w:eastAsia="Times New Roman" w:hAnsi="Arial" w:cs="Arial"/>
          <w:sz w:val="18"/>
          <w:szCs w:val="18"/>
          <w:lang w:eastAsia="cs-CZ"/>
        </w:rPr>
        <w:t xml:space="preserve">tomatologické výrobky </w:t>
      </w:r>
      <w:r w:rsidR="004E3F5F" w:rsidRPr="003A6640">
        <w:rPr>
          <w:rFonts w:ascii="Arial" w:eastAsia="Times New Roman" w:hAnsi="Arial" w:cs="Arial"/>
          <w:b/>
          <w:sz w:val="18"/>
          <w:szCs w:val="18"/>
          <w:lang w:eastAsia="cs-CZ"/>
        </w:rPr>
        <w:t>plně hrazené</w:t>
      </w:r>
      <w:r w:rsidR="004E3F5F" w:rsidRPr="003A6640">
        <w:rPr>
          <w:rFonts w:ascii="Arial" w:eastAsia="Times New Roman" w:hAnsi="Arial" w:cs="Arial"/>
          <w:sz w:val="18"/>
          <w:szCs w:val="18"/>
          <w:lang w:eastAsia="cs-CZ"/>
        </w:rPr>
        <w:t xml:space="preserve"> ze zdravotního pojištění budou</w:t>
      </w:r>
      <w:r w:rsidR="00B5539D" w:rsidRPr="003A6640">
        <w:rPr>
          <w:rFonts w:ascii="Arial" w:eastAsia="Times New Roman" w:hAnsi="Arial" w:cs="Arial"/>
          <w:sz w:val="18"/>
          <w:szCs w:val="18"/>
          <w:lang w:eastAsia="cs-CZ"/>
        </w:rPr>
        <w:t xml:space="preserve"> </w:t>
      </w:r>
      <w:r w:rsidR="004E3F5F" w:rsidRPr="003A6640">
        <w:rPr>
          <w:rFonts w:ascii="Arial" w:eastAsia="Times New Roman" w:hAnsi="Arial" w:cs="Arial"/>
          <w:sz w:val="18"/>
          <w:szCs w:val="18"/>
          <w:lang w:eastAsia="cs-CZ"/>
        </w:rPr>
        <w:t>při splnění podmínek stanovených ve Smlouvě včetně tohoto dodatku hrazeny ve výši maximálních cen uvedených v Cenovém rozhodnutí MZČR účinné</w:t>
      </w:r>
      <w:r w:rsidR="00DA2CCD" w:rsidRPr="003A6640">
        <w:rPr>
          <w:rFonts w:ascii="Arial" w:eastAsia="Times New Roman" w:hAnsi="Arial" w:cs="Arial"/>
          <w:sz w:val="18"/>
          <w:szCs w:val="18"/>
          <w:lang w:eastAsia="cs-CZ"/>
        </w:rPr>
        <w:t>m</w:t>
      </w:r>
      <w:r w:rsidR="004E3F5F" w:rsidRPr="003A6640">
        <w:rPr>
          <w:rFonts w:ascii="Arial" w:eastAsia="Times New Roman" w:hAnsi="Arial" w:cs="Arial"/>
          <w:sz w:val="18"/>
          <w:szCs w:val="18"/>
          <w:lang w:eastAsia="cs-CZ"/>
        </w:rPr>
        <w:t xml:space="preserve"> ke dni předání stomatologického výrobku pojištěnci. Stomatologickým výrobkem plně hrazeným ze zdravotního pojištění se rozumí výrobek uvedený a označený symbolem „I“ v Příloze č. 4 ZVZP. </w:t>
      </w:r>
    </w:p>
    <w:p w14:paraId="1CD5B129" w14:textId="77777777" w:rsidR="00B81018" w:rsidRPr="003A6640" w:rsidRDefault="00384CCE" w:rsidP="00384CCE">
      <w:pPr>
        <w:tabs>
          <w:tab w:val="left" w:pos="567"/>
        </w:tabs>
        <w:overflowPunct w:val="0"/>
        <w:autoSpaceDE w:val="0"/>
        <w:autoSpaceDN w:val="0"/>
        <w:adjustRightInd w:val="0"/>
        <w:spacing w:before="120" w:after="0" w:line="240" w:lineRule="auto"/>
        <w:ind w:left="567"/>
        <w:jc w:val="both"/>
        <w:textAlignment w:val="baseline"/>
        <w:rPr>
          <w:rFonts w:ascii="Arial" w:eastAsia="Times New Roman" w:hAnsi="Arial" w:cs="Arial"/>
          <w:sz w:val="18"/>
          <w:szCs w:val="18"/>
          <w:lang w:eastAsia="cs-CZ"/>
        </w:rPr>
      </w:pPr>
      <w:r w:rsidRPr="003A6640">
        <w:rPr>
          <w:rFonts w:ascii="Arial" w:eastAsia="Times New Roman" w:hAnsi="Arial" w:cs="Arial"/>
          <w:sz w:val="18"/>
          <w:szCs w:val="18"/>
          <w:lang w:eastAsia="cs-CZ"/>
        </w:rPr>
        <w:t>● s</w:t>
      </w:r>
      <w:r w:rsidR="004E3F5F" w:rsidRPr="003A6640">
        <w:rPr>
          <w:rFonts w:ascii="Arial" w:eastAsia="Times New Roman" w:hAnsi="Arial" w:cs="Arial"/>
          <w:sz w:val="18"/>
          <w:szCs w:val="18"/>
          <w:lang w:eastAsia="cs-CZ"/>
        </w:rPr>
        <w:t xml:space="preserve">tomatologické výrobky </w:t>
      </w:r>
      <w:r w:rsidR="004E3F5F" w:rsidRPr="003A6640">
        <w:rPr>
          <w:rFonts w:ascii="Arial" w:eastAsia="Times New Roman" w:hAnsi="Arial" w:cs="Arial"/>
          <w:b/>
          <w:sz w:val="18"/>
          <w:szCs w:val="18"/>
          <w:lang w:eastAsia="cs-CZ"/>
        </w:rPr>
        <w:t>částečně hrazené</w:t>
      </w:r>
      <w:r w:rsidR="004E3F5F" w:rsidRPr="003A6640">
        <w:rPr>
          <w:rFonts w:ascii="Arial" w:eastAsia="Times New Roman" w:hAnsi="Arial" w:cs="Arial"/>
          <w:sz w:val="18"/>
          <w:szCs w:val="18"/>
          <w:lang w:eastAsia="cs-CZ"/>
        </w:rPr>
        <w:t xml:space="preserve"> ze zdravotního pojištění</w:t>
      </w:r>
      <w:r w:rsidR="00E607CC" w:rsidRPr="003A6640">
        <w:rPr>
          <w:rFonts w:ascii="Arial" w:eastAsia="Times New Roman" w:hAnsi="Arial" w:cs="Arial"/>
          <w:sz w:val="18"/>
          <w:szCs w:val="18"/>
          <w:lang w:eastAsia="cs-CZ"/>
        </w:rPr>
        <w:t xml:space="preserve"> </w:t>
      </w:r>
      <w:r w:rsidR="004E3F5F" w:rsidRPr="003A6640">
        <w:rPr>
          <w:rFonts w:ascii="Arial" w:eastAsia="Times New Roman" w:hAnsi="Arial" w:cs="Arial"/>
          <w:sz w:val="18"/>
          <w:szCs w:val="18"/>
          <w:lang w:eastAsia="cs-CZ"/>
        </w:rPr>
        <w:t>budou při splnění podmínek stanovených ve Smlouvě včetně tohoto dodatku hrazeny ve výši stanovené v</w:t>
      </w:r>
      <w:r w:rsidR="00BE1752" w:rsidRPr="003A6640">
        <w:rPr>
          <w:rFonts w:ascii="Arial" w:eastAsia="Times New Roman" w:hAnsi="Arial" w:cs="Arial"/>
          <w:sz w:val="18"/>
          <w:szCs w:val="18"/>
          <w:lang w:eastAsia="cs-CZ"/>
        </w:rPr>
        <w:t> </w:t>
      </w:r>
      <w:r w:rsidR="004E3F5F" w:rsidRPr="003A6640">
        <w:rPr>
          <w:rFonts w:ascii="Arial" w:eastAsia="Times New Roman" w:hAnsi="Arial" w:cs="Arial"/>
          <w:sz w:val="18"/>
          <w:szCs w:val="18"/>
          <w:lang w:eastAsia="cs-CZ"/>
        </w:rPr>
        <w:t>Příloze č. 4 ZVZP</w:t>
      </w:r>
      <w:r w:rsidR="00B3746E" w:rsidRPr="003A6640">
        <w:rPr>
          <w:rFonts w:ascii="Arial" w:eastAsia="Times New Roman" w:hAnsi="Arial" w:cs="Arial"/>
          <w:sz w:val="18"/>
          <w:szCs w:val="18"/>
          <w:lang w:eastAsia="cs-CZ"/>
        </w:rPr>
        <w:t xml:space="preserve"> </w:t>
      </w:r>
    </w:p>
    <w:p w14:paraId="4CFA3242" w14:textId="77777777" w:rsidR="00B5539D" w:rsidRPr="003A6640" w:rsidRDefault="00384CCE" w:rsidP="00384CCE">
      <w:pPr>
        <w:tabs>
          <w:tab w:val="left" w:pos="567"/>
        </w:tabs>
        <w:spacing w:before="120" w:after="0" w:line="240" w:lineRule="auto"/>
        <w:ind w:left="567"/>
        <w:jc w:val="both"/>
        <w:rPr>
          <w:rFonts w:ascii="Arial" w:eastAsia="Times New Roman" w:hAnsi="Arial" w:cs="Arial"/>
          <w:sz w:val="18"/>
          <w:szCs w:val="18"/>
          <w:lang w:eastAsia="cs-CZ"/>
        </w:rPr>
      </w:pPr>
      <w:r w:rsidRPr="003A6640">
        <w:rPr>
          <w:rFonts w:ascii="Arial" w:eastAsia="Times New Roman" w:hAnsi="Arial" w:cs="Arial"/>
          <w:b/>
          <w:sz w:val="18"/>
          <w:szCs w:val="18"/>
          <w:lang w:eastAsia="cs-CZ"/>
        </w:rPr>
        <w:t>b)</w:t>
      </w:r>
      <w:r w:rsidRPr="003A6640">
        <w:rPr>
          <w:rFonts w:ascii="Arial" w:eastAsia="Times New Roman" w:hAnsi="Arial" w:cs="Arial"/>
          <w:sz w:val="18"/>
          <w:szCs w:val="18"/>
          <w:lang w:eastAsia="cs-CZ"/>
        </w:rPr>
        <w:t xml:space="preserve"> </w:t>
      </w:r>
      <w:r w:rsidR="00B5539D" w:rsidRPr="003A6640">
        <w:rPr>
          <w:rFonts w:ascii="Arial" w:eastAsia="Times New Roman" w:hAnsi="Arial" w:cs="Arial"/>
          <w:sz w:val="18"/>
          <w:szCs w:val="18"/>
          <w:lang w:eastAsia="cs-CZ"/>
        </w:rPr>
        <w:t>jde-li o stomatologické výrobky</w:t>
      </w:r>
      <w:r w:rsidR="005E0A57">
        <w:rPr>
          <w:rFonts w:ascii="Arial" w:eastAsia="Times New Roman" w:hAnsi="Arial" w:cs="Arial"/>
          <w:sz w:val="18"/>
          <w:szCs w:val="18"/>
          <w:lang w:eastAsia="cs-CZ"/>
        </w:rPr>
        <w:t xml:space="preserve"> podle přílohy č. 4 ZVZP ve znění účinném do 31. 12. 2021</w:t>
      </w:r>
      <w:r w:rsidR="00B5539D" w:rsidRPr="003A6640">
        <w:rPr>
          <w:rFonts w:ascii="Arial" w:eastAsia="Times New Roman" w:hAnsi="Arial" w:cs="Arial"/>
          <w:sz w:val="18"/>
          <w:szCs w:val="18"/>
          <w:lang w:eastAsia="cs-CZ"/>
        </w:rPr>
        <w:t xml:space="preserve">, </w:t>
      </w:r>
      <w:r w:rsidR="005E0A57">
        <w:rPr>
          <w:rFonts w:ascii="Arial" w:eastAsia="Times New Roman" w:hAnsi="Arial" w:cs="Arial"/>
          <w:sz w:val="18"/>
          <w:szCs w:val="18"/>
          <w:lang w:eastAsia="cs-CZ"/>
        </w:rPr>
        <w:t>které se podle čl. II bodu 9 první věty zákona č. 371/2021 Sb. hradí v roce 2022 v rozsahu a za podmínek stanovených v příloze č. 4 ZVZP, ve znění účinném do 31.12. 2021</w:t>
      </w:r>
      <w:r w:rsidR="00E607CC" w:rsidRPr="003A6640">
        <w:rPr>
          <w:rFonts w:ascii="Arial" w:eastAsia="Times New Roman" w:hAnsi="Arial" w:cs="Arial"/>
          <w:sz w:val="18"/>
          <w:szCs w:val="18"/>
          <w:lang w:eastAsia="cs-CZ"/>
        </w:rPr>
        <w:t>, platí že:</w:t>
      </w:r>
    </w:p>
    <w:p w14:paraId="3566E8F1" w14:textId="77777777" w:rsidR="00AB21E8" w:rsidRPr="003A6640" w:rsidRDefault="00B5539D" w:rsidP="00384CCE">
      <w:pPr>
        <w:tabs>
          <w:tab w:val="left" w:pos="567"/>
        </w:tabs>
        <w:spacing w:before="120" w:after="0" w:line="240" w:lineRule="auto"/>
        <w:ind w:left="567"/>
        <w:jc w:val="both"/>
        <w:rPr>
          <w:rFonts w:ascii="Arial" w:eastAsia="Times New Roman" w:hAnsi="Arial" w:cs="Arial"/>
          <w:sz w:val="18"/>
          <w:szCs w:val="18"/>
          <w:lang w:eastAsia="cs-CZ"/>
        </w:rPr>
      </w:pPr>
      <w:r w:rsidRPr="003A6640">
        <w:rPr>
          <w:rFonts w:ascii="Arial" w:eastAsia="Times New Roman" w:hAnsi="Arial" w:cs="Arial"/>
          <w:sz w:val="18"/>
          <w:szCs w:val="18"/>
          <w:lang w:eastAsia="cs-CZ"/>
        </w:rPr>
        <w:t xml:space="preserve">● </w:t>
      </w:r>
      <w:r w:rsidR="00384CCE" w:rsidRPr="003A6640">
        <w:rPr>
          <w:rFonts w:ascii="Arial" w:eastAsia="Times New Roman" w:hAnsi="Arial" w:cs="Arial"/>
          <w:sz w:val="18"/>
          <w:szCs w:val="18"/>
          <w:lang w:eastAsia="cs-CZ"/>
        </w:rPr>
        <w:t>s</w:t>
      </w:r>
      <w:r w:rsidR="00B3746E" w:rsidRPr="003A6640">
        <w:rPr>
          <w:rFonts w:ascii="Arial" w:eastAsia="Times New Roman" w:hAnsi="Arial" w:cs="Arial"/>
          <w:sz w:val="18"/>
          <w:szCs w:val="18"/>
          <w:lang w:eastAsia="cs-CZ"/>
        </w:rPr>
        <w:t xml:space="preserve">tomatologické </w:t>
      </w:r>
      <w:r w:rsidR="00384CCE" w:rsidRPr="003A6640">
        <w:rPr>
          <w:rFonts w:ascii="Arial" w:eastAsia="Times New Roman" w:hAnsi="Arial" w:cs="Arial"/>
          <w:sz w:val="18"/>
          <w:szCs w:val="18"/>
          <w:lang w:eastAsia="cs-CZ"/>
        </w:rPr>
        <w:t xml:space="preserve">výrobky, které byly dle Přílohy č. 4 ZVZP </w:t>
      </w:r>
      <w:r w:rsidR="00384CCE" w:rsidRPr="003A6640">
        <w:rPr>
          <w:rFonts w:ascii="Arial" w:eastAsia="Times New Roman" w:hAnsi="Arial" w:cs="Arial"/>
          <w:b/>
          <w:sz w:val="18"/>
          <w:szCs w:val="18"/>
          <w:lang w:eastAsia="cs-CZ"/>
        </w:rPr>
        <w:t xml:space="preserve">ve znění účinném do 31. 12. 2021 </w:t>
      </w:r>
      <w:r w:rsidR="00B3746E" w:rsidRPr="003A6640">
        <w:rPr>
          <w:rFonts w:ascii="Arial" w:eastAsia="Times New Roman" w:hAnsi="Arial" w:cs="Arial"/>
          <w:b/>
          <w:sz w:val="18"/>
          <w:szCs w:val="18"/>
          <w:lang w:eastAsia="cs-CZ"/>
        </w:rPr>
        <w:t>plně hrazené</w:t>
      </w:r>
      <w:r w:rsidR="00B3746E" w:rsidRPr="003A6640">
        <w:rPr>
          <w:rFonts w:ascii="Arial" w:eastAsia="Times New Roman" w:hAnsi="Arial" w:cs="Arial"/>
          <w:sz w:val="18"/>
          <w:szCs w:val="18"/>
          <w:lang w:eastAsia="cs-CZ"/>
        </w:rPr>
        <w:t xml:space="preserve"> </w:t>
      </w:r>
      <w:r w:rsidRPr="003A6640">
        <w:rPr>
          <w:rFonts w:ascii="Arial" w:eastAsia="Times New Roman" w:hAnsi="Arial" w:cs="Arial"/>
          <w:sz w:val="18"/>
          <w:szCs w:val="18"/>
          <w:lang w:eastAsia="cs-CZ"/>
        </w:rPr>
        <w:t>ze zdravotního pojištění</w:t>
      </w:r>
      <w:r w:rsidR="00AB21E8" w:rsidRPr="003A6640">
        <w:rPr>
          <w:rFonts w:ascii="Arial" w:eastAsia="Times New Roman" w:hAnsi="Arial" w:cs="Arial"/>
          <w:sz w:val="18"/>
          <w:szCs w:val="18"/>
          <w:lang w:eastAsia="cs-CZ"/>
        </w:rPr>
        <w:t>, budou hrazeny ve výši maximálních cen uvedených v Cenovém rozhodnutí MZČR č. 6/2020/CAU ze dne 18. února 2020</w:t>
      </w:r>
      <w:r w:rsidR="00893FA5" w:rsidRPr="003A6640">
        <w:rPr>
          <w:rFonts w:ascii="Arial" w:eastAsia="Times New Roman" w:hAnsi="Arial" w:cs="Arial"/>
          <w:sz w:val="18"/>
          <w:szCs w:val="18"/>
          <w:lang w:eastAsia="cs-CZ"/>
        </w:rPr>
        <w:t>.</w:t>
      </w:r>
    </w:p>
    <w:p w14:paraId="48032CA8" w14:textId="77777777" w:rsidR="00E607CC" w:rsidRPr="003D11A7" w:rsidRDefault="00AB21E8" w:rsidP="00E607CC">
      <w:pPr>
        <w:tabs>
          <w:tab w:val="left" w:pos="567"/>
        </w:tabs>
        <w:overflowPunct w:val="0"/>
        <w:autoSpaceDE w:val="0"/>
        <w:autoSpaceDN w:val="0"/>
        <w:adjustRightInd w:val="0"/>
        <w:spacing w:before="120" w:after="0" w:line="240" w:lineRule="auto"/>
        <w:ind w:left="567"/>
        <w:jc w:val="both"/>
        <w:textAlignment w:val="baseline"/>
        <w:rPr>
          <w:rFonts w:ascii="Arial" w:eastAsia="Times New Roman" w:hAnsi="Arial" w:cs="Arial"/>
          <w:sz w:val="18"/>
          <w:szCs w:val="18"/>
          <w:lang w:eastAsia="cs-CZ"/>
        </w:rPr>
      </w:pPr>
      <w:r w:rsidRPr="003A6640">
        <w:rPr>
          <w:rFonts w:ascii="Arial" w:eastAsia="Times New Roman" w:hAnsi="Arial" w:cs="Arial"/>
          <w:sz w:val="18"/>
          <w:szCs w:val="18"/>
          <w:lang w:eastAsia="cs-CZ"/>
        </w:rPr>
        <w:t xml:space="preserve">● stomatologické výrobky, které byly dle Přílohy č. 4 ZVZP </w:t>
      </w:r>
      <w:r w:rsidRPr="003A6640">
        <w:rPr>
          <w:rFonts w:ascii="Arial" w:eastAsia="Times New Roman" w:hAnsi="Arial" w:cs="Arial"/>
          <w:b/>
          <w:sz w:val="18"/>
          <w:szCs w:val="18"/>
          <w:lang w:eastAsia="cs-CZ"/>
        </w:rPr>
        <w:t xml:space="preserve">ve znění účinném do 31. 12. 2021 </w:t>
      </w:r>
      <w:r w:rsidR="00E607CC" w:rsidRPr="003A6640">
        <w:rPr>
          <w:rFonts w:ascii="Arial" w:eastAsia="Times New Roman" w:hAnsi="Arial" w:cs="Arial"/>
          <w:b/>
          <w:sz w:val="18"/>
          <w:szCs w:val="18"/>
          <w:lang w:eastAsia="cs-CZ"/>
        </w:rPr>
        <w:t xml:space="preserve">částečně </w:t>
      </w:r>
      <w:r w:rsidRPr="003A6640">
        <w:rPr>
          <w:rFonts w:ascii="Arial" w:eastAsia="Times New Roman" w:hAnsi="Arial" w:cs="Arial"/>
          <w:b/>
          <w:sz w:val="18"/>
          <w:szCs w:val="18"/>
          <w:lang w:eastAsia="cs-CZ"/>
        </w:rPr>
        <w:t>hrazené</w:t>
      </w:r>
      <w:r w:rsidRPr="003A6640">
        <w:rPr>
          <w:rFonts w:ascii="Arial" w:eastAsia="Times New Roman" w:hAnsi="Arial" w:cs="Arial"/>
          <w:sz w:val="18"/>
          <w:szCs w:val="18"/>
          <w:lang w:eastAsia="cs-CZ"/>
        </w:rPr>
        <w:t xml:space="preserve"> ze zdravotního pojištění, budou </w:t>
      </w:r>
      <w:r w:rsidR="00E607CC" w:rsidRPr="003A6640">
        <w:rPr>
          <w:rFonts w:ascii="Arial" w:eastAsia="Times New Roman" w:hAnsi="Arial" w:cs="Arial"/>
          <w:sz w:val="18"/>
          <w:szCs w:val="18"/>
          <w:lang w:eastAsia="cs-CZ"/>
        </w:rPr>
        <w:t>hrazeny ve výši stanovené v Příloze č. 4 ZVZP</w:t>
      </w:r>
      <w:r w:rsidR="002A1E4F">
        <w:rPr>
          <w:rFonts w:ascii="Arial" w:eastAsia="Times New Roman" w:hAnsi="Arial" w:cs="Arial"/>
          <w:sz w:val="18"/>
          <w:szCs w:val="18"/>
          <w:lang w:eastAsia="cs-CZ"/>
        </w:rPr>
        <w:t xml:space="preserve"> ve znění </w:t>
      </w:r>
      <w:r w:rsidR="00E607CC" w:rsidRPr="003A6640">
        <w:rPr>
          <w:rFonts w:ascii="Arial" w:eastAsia="Times New Roman" w:hAnsi="Arial" w:cs="Arial"/>
          <w:sz w:val="18"/>
          <w:szCs w:val="18"/>
          <w:lang w:eastAsia="cs-CZ"/>
        </w:rPr>
        <w:t>účinné</w:t>
      </w:r>
      <w:r w:rsidR="002A1E4F">
        <w:rPr>
          <w:rFonts w:ascii="Arial" w:eastAsia="Times New Roman" w:hAnsi="Arial" w:cs="Arial"/>
          <w:sz w:val="18"/>
          <w:szCs w:val="18"/>
          <w:lang w:eastAsia="cs-CZ"/>
        </w:rPr>
        <w:t>m</w:t>
      </w:r>
      <w:r w:rsidR="00E607CC" w:rsidRPr="003A6640">
        <w:rPr>
          <w:rFonts w:ascii="Arial" w:eastAsia="Times New Roman" w:hAnsi="Arial" w:cs="Arial"/>
          <w:sz w:val="18"/>
          <w:szCs w:val="18"/>
          <w:lang w:eastAsia="cs-CZ"/>
        </w:rPr>
        <w:t xml:space="preserve"> do 31. 12. 2021</w:t>
      </w:r>
      <w:r w:rsidR="002A1E4F">
        <w:rPr>
          <w:rFonts w:ascii="Arial" w:eastAsia="Times New Roman" w:hAnsi="Arial" w:cs="Arial"/>
          <w:sz w:val="18"/>
          <w:szCs w:val="18"/>
          <w:lang w:eastAsia="cs-CZ"/>
        </w:rPr>
        <w:t>.</w:t>
      </w:r>
    </w:p>
    <w:p w14:paraId="3CD51155" w14:textId="77777777" w:rsidR="00B5539D" w:rsidRPr="004E3F5F" w:rsidRDefault="00B5539D" w:rsidP="00384CCE">
      <w:pPr>
        <w:tabs>
          <w:tab w:val="left" w:pos="567"/>
        </w:tabs>
        <w:spacing w:before="120" w:after="0" w:line="240" w:lineRule="auto"/>
        <w:ind w:left="567"/>
        <w:jc w:val="both"/>
        <w:rPr>
          <w:rFonts w:ascii="Arial" w:eastAsia="Times New Roman" w:hAnsi="Arial" w:cs="Arial"/>
          <w:sz w:val="18"/>
          <w:szCs w:val="18"/>
          <w:lang w:eastAsia="cs-CZ"/>
        </w:rPr>
      </w:pPr>
    </w:p>
    <w:p w14:paraId="5506BDB9" w14:textId="77777777" w:rsidR="004E3F5F" w:rsidRPr="00011FB8" w:rsidRDefault="004E3F5F" w:rsidP="004E3F5F">
      <w:pPr>
        <w:numPr>
          <w:ilvl w:val="0"/>
          <w:numId w:val="4"/>
        </w:numPr>
        <w:tabs>
          <w:tab w:val="left" w:pos="567"/>
        </w:tabs>
        <w:overflowPunct w:val="0"/>
        <w:autoSpaceDE w:val="0"/>
        <w:autoSpaceDN w:val="0"/>
        <w:adjustRightInd w:val="0"/>
        <w:spacing w:before="120" w:after="0" w:line="240" w:lineRule="auto"/>
        <w:ind w:left="567" w:hanging="567"/>
        <w:jc w:val="both"/>
        <w:textAlignment w:val="baseline"/>
        <w:rPr>
          <w:rFonts w:ascii="Arial" w:eastAsia="Times New Roman" w:hAnsi="Arial" w:cs="Arial"/>
          <w:sz w:val="18"/>
          <w:szCs w:val="18"/>
          <w:lang w:eastAsia="cs-CZ"/>
        </w:rPr>
      </w:pPr>
      <w:r w:rsidRPr="00011FB8">
        <w:rPr>
          <w:rFonts w:ascii="Arial" w:eastAsia="Times New Roman" w:hAnsi="Arial" w:cs="Arial"/>
          <w:sz w:val="18"/>
          <w:szCs w:val="18"/>
          <w:lang w:eastAsia="cs-CZ"/>
        </w:rPr>
        <w:t>Za každý Poskytovatelem vykázaný a Pojišťovnou uznaný druh léčivého přípravku na receptu v elektronické podobě v</w:t>
      </w:r>
      <w:r w:rsidR="00AF5313">
        <w:rPr>
          <w:rFonts w:ascii="Arial" w:eastAsia="Times New Roman" w:hAnsi="Arial" w:cs="Arial"/>
          <w:sz w:val="18"/>
          <w:szCs w:val="18"/>
          <w:lang w:eastAsia="cs-CZ"/>
        </w:rPr>
        <w:t> roce 2022</w:t>
      </w:r>
      <w:r w:rsidRPr="00011FB8">
        <w:rPr>
          <w:rFonts w:ascii="Arial" w:eastAsia="Times New Roman" w:hAnsi="Arial" w:cs="Arial"/>
          <w:sz w:val="18"/>
          <w:szCs w:val="18"/>
          <w:lang w:eastAsia="cs-CZ"/>
        </w:rPr>
        <w:t xml:space="preserve">, na </w:t>
      </w:r>
      <w:r w:rsidR="00017181">
        <w:rPr>
          <w:rFonts w:ascii="Arial" w:eastAsia="Times New Roman" w:hAnsi="Arial" w:cs="Arial"/>
          <w:sz w:val="18"/>
          <w:szCs w:val="18"/>
          <w:lang w:eastAsia="cs-CZ"/>
        </w:rPr>
        <w:t xml:space="preserve">jehož </w:t>
      </w:r>
      <w:r w:rsidRPr="00011FB8">
        <w:rPr>
          <w:rFonts w:ascii="Arial" w:eastAsia="Times New Roman" w:hAnsi="Arial" w:cs="Arial"/>
          <w:sz w:val="18"/>
          <w:szCs w:val="18"/>
          <w:lang w:eastAsia="cs-CZ"/>
        </w:rPr>
        <w:t xml:space="preserve">základě dojde k výdeji léčivých přípravků plně či částečně hrazených z veřejného zdravotního pojištění, Pojišťovna Poskytovateli uhradí 1,70 Kč. Celkovou částku dle tohoto ujednání uhradí Pojišťovna Poskytovateli do 150 dnů po skončení </w:t>
      </w:r>
      <w:r w:rsidR="00AF5313">
        <w:rPr>
          <w:rFonts w:ascii="Arial" w:eastAsia="Times New Roman" w:hAnsi="Arial" w:cs="Arial"/>
          <w:sz w:val="18"/>
          <w:szCs w:val="18"/>
          <w:lang w:eastAsia="cs-CZ"/>
        </w:rPr>
        <w:t>roku 2022</w:t>
      </w:r>
      <w:r w:rsidRPr="00011FB8">
        <w:rPr>
          <w:rFonts w:ascii="Arial" w:eastAsia="Times New Roman" w:hAnsi="Arial" w:cs="Arial"/>
          <w:sz w:val="18"/>
          <w:szCs w:val="18"/>
          <w:lang w:eastAsia="cs-CZ"/>
        </w:rPr>
        <w:t>.</w:t>
      </w:r>
    </w:p>
    <w:p w14:paraId="7EA945DC" w14:textId="77777777" w:rsidR="004E3F5F" w:rsidRPr="004E3F5F" w:rsidRDefault="004E3F5F" w:rsidP="004E3F5F">
      <w:pPr>
        <w:overflowPunct w:val="0"/>
        <w:autoSpaceDE w:val="0"/>
        <w:autoSpaceDN w:val="0"/>
        <w:adjustRightInd w:val="0"/>
        <w:spacing w:after="0" w:line="240" w:lineRule="auto"/>
        <w:ind w:left="720"/>
        <w:contextualSpacing/>
        <w:textAlignment w:val="baseline"/>
        <w:rPr>
          <w:rFonts w:ascii="Arial" w:eastAsia="Times New Roman" w:hAnsi="Arial" w:cs="Arial"/>
          <w:sz w:val="18"/>
          <w:szCs w:val="18"/>
          <w:lang w:eastAsia="cs-CZ"/>
        </w:rPr>
      </w:pPr>
    </w:p>
    <w:p w14:paraId="3EE9F917" w14:textId="77777777" w:rsidR="004E3F5F" w:rsidRPr="004E3F5F" w:rsidRDefault="004E3F5F" w:rsidP="004E3F5F">
      <w:pPr>
        <w:numPr>
          <w:ilvl w:val="0"/>
          <w:numId w:val="4"/>
        </w:numPr>
        <w:tabs>
          <w:tab w:val="left" w:pos="567"/>
        </w:tabs>
        <w:overflowPunct w:val="0"/>
        <w:autoSpaceDE w:val="0"/>
        <w:autoSpaceDN w:val="0"/>
        <w:adjustRightInd w:val="0"/>
        <w:spacing w:before="120" w:after="0" w:line="240" w:lineRule="auto"/>
        <w:ind w:left="567" w:hanging="567"/>
        <w:jc w:val="both"/>
        <w:textAlignment w:val="baseline"/>
        <w:rPr>
          <w:rFonts w:ascii="Arial" w:eastAsia="Times New Roman" w:hAnsi="Arial" w:cs="Arial"/>
          <w:sz w:val="18"/>
          <w:szCs w:val="18"/>
          <w:lang w:eastAsia="cs-CZ"/>
        </w:rPr>
      </w:pPr>
      <w:bookmarkStart w:id="1" w:name="_Hlk89949190"/>
      <w:r w:rsidRPr="004E3F5F">
        <w:rPr>
          <w:rFonts w:ascii="Arial" w:eastAsia="Times New Roman" w:hAnsi="Arial" w:cs="Arial"/>
          <w:sz w:val="18"/>
          <w:szCs w:val="18"/>
          <w:lang w:eastAsia="cs-CZ"/>
        </w:rPr>
        <w:t xml:space="preserve">Výkon s kódem 00921 je definován následovně: </w:t>
      </w:r>
    </w:p>
    <w:p w14:paraId="3105BE0C" w14:textId="77777777" w:rsidR="004E3F5F" w:rsidRPr="004E3F5F" w:rsidRDefault="004E3F5F" w:rsidP="004E3F5F">
      <w:pPr>
        <w:overflowPunct w:val="0"/>
        <w:autoSpaceDE w:val="0"/>
        <w:autoSpaceDN w:val="0"/>
        <w:adjustRightInd w:val="0"/>
        <w:spacing w:after="0" w:line="240" w:lineRule="auto"/>
        <w:ind w:left="720"/>
        <w:contextualSpacing/>
        <w:textAlignment w:val="baseline"/>
        <w:rPr>
          <w:rFonts w:ascii="Arial" w:eastAsia="Times New Roman" w:hAnsi="Arial" w:cs="Arial"/>
          <w:sz w:val="18"/>
          <w:szCs w:val="18"/>
          <w:lang w:eastAsia="cs-CZ"/>
        </w:rPr>
      </w:pPr>
    </w:p>
    <w:bookmarkEnd w:id="1"/>
    <w:p w14:paraId="4458B245" w14:textId="77777777" w:rsidR="004E3F5F" w:rsidRPr="004E3F5F" w:rsidRDefault="004E3F5F" w:rsidP="004E3F5F">
      <w:pPr>
        <w:tabs>
          <w:tab w:val="left" w:pos="567"/>
        </w:tabs>
        <w:spacing w:before="120" w:after="0" w:line="240" w:lineRule="auto"/>
        <w:ind w:left="567"/>
        <w:jc w:val="both"/>
        <w:rPr>
          <w:rFonts w:ascii="Arial" w:eastAsia="Times New Roman" w:hAnsi="Arial" w:cs="Arial"/>
          <w:sz w:val="18"/>
          <w:szCs w:val="18"/>
          <w:lang w:eastAsia="cs-CZ"/>
        </w:rPr>
      </w:pPr>
      <w:r w:rsidRPr="004E3F5F">
        <w:rPr>
          <w:rFonts w:ascii="Arial" w:eastAsia="Times New Roman" w:hAnsi="Arial" w:cs="Arial"/>
          <w:sz w:val="18"/>
          <w:szCs w:val="18"/>
          <w:u w:val="single"/>
          <w:lang w:eastAsia="cs-CZ"/>
        </w:rPr>
        <w:t>Ošetření stálého zubu plastickou výplní</w:t>
      </w:r>
      <w:r w:rsidRPr="004E3F5F">
        <w:rPr>
          <w:rFonts w:ascii="Arial" w:eastAsia="Times New Roman" w:hAnsi="Arial" w:cs="Arial"/>
          <w:sz w:val="18"/>
          <w:szCs w:val="18"/>
          <w:lang w:eastAsia="cs-CZ"/>
        </w:rPr>
        <w:t xml:space="preserve"> </w:t>
      </w:r>
    </w:p>
    <w:p w14:paraId="19BBC7BA" w14:textId="77777777" w:rsidR="004E3F5F" w:rsidRPr="004E3F5F" w:rsidRDefault="004E3F5F" w:rsidP="004E3F5F">
      <w:pPr>
        <w:tabs>
          <w:tab w:val="left" w:pos="567"/>
        </w:tabs>
        <w:spacing w:before="120" w:after="0" w:line="240" w:lineRule="auto"/>
        <w:ind w:left="567"/>
        <w:jc w:val="both"/>
        <w:rPr>
          <w:rFonts w:ascii="Arial" w:eastAsia="Times New Roman" w:hAnsi="Arial" w:cs="Arial"/>
          <w:sz w:val="18"/>
          <w:szCs w:val="18"/>
          <w:lang w:eastAsia="cs-CZ"/>
        </w:rPr>
      </w:pPr>
      <w:r w:rsidRPr="004E3F5F">
        <w:rPr>
          <w:rFonts w:ascii="Arial" w:eastAsia="Times New Roman" w:hAnsi="Arial" w:cs="Arial"/>
          <w:sz w:val="18"/>
          <w:szCs w:val="18"/>
          <w:lang w:eastAsia="cs-CZ"/>
        </w:rPr>
        <w:t>Ošetření stálého zubu definitivní výplní, bez ohledu na počet plošek výplně či případný počet drobných výplní na jednom zubu,</w:t>
      </w:r>
    </w:p>
    <w:p w14:paraId="53E9E90F" w14:textId="77777777" w:rsidR="004E3F5F" w:rsidRPr="004E3F5F" w:rsidRDefault="004E3F5F" w:rsidP="004E3F5F">
      <w:pPr>
        <w:numPr>
          <w:ilvl w:val="0"/>
          <w:numId w:val="7"/>
        </w:numPr>
        <w:tabs>
          <w:tab w:val="left" w:pos="567"/>
        </w:tabs>
        <w:overflowPunct w:val="0"/>
        <w:autoSpaceDE w:val="0"/>
        <w:autoSpaceDN w:val="0"/>
        <w:adjustRightInd w:val="0"/>
        <w:spacing w:before="120" w:after="0" w:line="240" w:lineRule="auto"/>
        <w:contextualSpacing/>
        <w:jc w:val="both"/>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u pojištěnců do dne dosažení 15 let a u těhotných a kojících žen v rozsahu celého chrupu při pou</w:t>
      </w:r>
      <w:r>
        <w:rPr>
          <w:rFonts w:ascii="Arial" w:eastAsia="Times New Roman" w:hAnsi="Arial" w:cs="Arial"/>
          <w:sz w:val="18"/>
          <w:szCs w:val="18"/>
          <w:lang w:eastAsia="cs-CZ"/>
        </w:rPr>
        <w:t xml:space="preserve">žití </w:t>
      </w:r>
      <w:r w:rsidRPr="004E3F5F">
        <w:rPr>
          <w:rFonts w:ascii="Arial" w:eastAsia="Times New Roman" w:hAnsi="Arial" w:cs="Arial"/>
          <w:sz w:val="18"/>
          <w:szCs w:val="18"/>
          <w:lang w:eastAsia="cs-CZ"/>
        </w:rPr>
        <w:t>skloionomerního cementu a v rozsahu řezáků a špičáků i při použití samopolymerujícího kompozitu. Není-li použití skloionomerního cementu možné z hlediska zdravotního stavu pojištěnce, lze použít dózovaný amalgám</w:t>
      </w:r>
      <w:r w:rsidR="00AB77CF">
        <w:rPr>
          <w:rFonts w:ascii="Arial" w:eastAsia="Times New Roman" w:hAnsi="Arial" w:cs="Arial"/>
          <w:sz w:val="18"/>
          <w:szCs w:val="18"/>
          <w:lang w:eastAsia="cs-CZ"/>
        </w:rPr>
        <w:t>,</w:t>
      </w:r>
    </w:p>
    <w:p w14:paraId="4F9ED105" w14:textId="77777777" w:rsidR="004E3F5F" w:rsidRPr="004E3F5F" w:rsidRDefault="004E3F5F" w:rsidP="004E3F5F">
      <w:pPr>
        <w:numPr>
          <w:ilvl w:val="0"/>
          <w:numId w:val="7"/>
        </w:numPr>
        <w:tabs>
          <w:tab w:val="left" w:pos="567"/>
        </w:tabs>
        <w:overflowPunct w:val="0"/>
        <w:autoSpaceDE w:val="0"/>
        <w:autoSpaceDN w:val="0"/>
        <w:adjustRightInd w:val="0"/>
        <w:spacing w:before="120" w:after="0" w:line="240" w:lineRule="auto"/>
        <w:contextualSpacing/>
        <w:jc w:val="both"/>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u pojištěnců, kteří nejsou uvedeni v písmenu a) v rozsahu celého chrupu při použití dozovaného amalgámu v základním provedení</w:t>
      </w:r>
      <w:r w:rsidR="00FB4217">
        <w:rPr>
          <w:rFonts w:ascii="Arial" w:eastAsia="Times New Roman" w:hAnsi="Arial" w:cs="Arial"/>
          <w:sz w:val="18"/>
          <w:szCs w:val="18"/>
          <w:lang w:eastAsia="cs-CZ"/>
        </w:rPr>
        <w:t>,</w:t>
      </w:r>
      <w:r w:rsidRPr="004E3F5F">
        <w:rPr>
          <w:rFonts w:ascii="Arial" w:eastAsia="Times New Roman" w:hAnsi="Arial" w:cs="Arial"/>
          <w:sz w:val="18"/>
          <w:szCs w:val="18"/>
          <w:lang w:eastAsia="cs-CZ"/>
        </w:rPr>
        <w:t xml:space="preserve"> v rozsahu řezáků a špičáků i při použití samopolymerujícího kompozitu.</w:t>
      </w:r>
    </w:p>
    <w:p w14:paraId="1AC58E3A" w14:textId="77777777" w:rsidR="004E3F5F" w:rsidRDefault="004E3F5F" w:rsidP="004E3F5F">
      <w:pPr>
        <w:tabs>
          <w:tab w:val="left" w:pos="567"/>
        </w:tabs>
        <w:spacing w:before="120" w:after="0" w:line="240" w:lineRule="auto"/>
        <w:ind w:left="567"/>
        <w:jc w:val="both"/>
        <w:rPr>
          <w:rFonts w:ascii="Arial" w:eastAsia="Times New Roman" w:hAnsi="Arial" w:cs="Arial"/>
          <w:sz w:val="18"/>
          <w:szCs w:val="18"/>
          <w:lang w:eastAsia="cs-CZ"/>
        </w:rPr>
      </w:pPr>
      <w:r w:rsidRPr="004E3F5F">
        <w:rPr>
          <w:rFonts w:ascii="Arial" w:eastAsia="Times New Roman" w:hAnsi="Arial" w:cs="Arial"/>
          <w:sz w:val="18"/>
          <w:szCs w:val="18"/>
          <w:lang w:eastAsia="cs-CZ"/>
        </w:rPr>
        <w:t>„Regulační omezení“ a „výše úhrady“ pro tento kód výkonu jsou uvedeny ve vyhlášce u tohoto kódu výkonu.</w:t>
      </w:r>
    </w:p>
    <w:p w14:paraId="27EDFFA5" w14:textId="77777777" w:rsidR="00011FB8" w:rsidRDefault="00011FB8" w:rsidP="004E3F5F">
      <w:pPr>
        <w:tabs>
          <w:tab w:val="left" w:pos="567"/>
        </w:tabs>
        <w:spacing w:before="120" w:after="0" w:line="240" w:lineRule="auto"/>
        <w:ind w:left="567"/>
        <w:jc w:val="both"/>
        <w:rPr>
          <w:rFonts w:ascii="Arial" w:eastAsia="Times New Roman" w:hAnsi="Arial" w:cs="Arial"/>
          <w:sz w:val="18"/>
          <w:szCs w:val="18"/>
          <w:lang w:eastAsia="cs-CZ"/>
        </w:rPr>
      </w:pPr>
    </w:p>
    <w:p w14:paraId="707515BC" w14:textId="77777777" w:rsidR="003A7257" w:rsidRPr="00C848AB" w:rsidRDefault="003A7257" w:rsidP="00C555B8">
      <w:pPr>
        <w:pStyle w:val="Odstavecseseznamem"/>
        <w:numPr>
          <w:ilvl w:val="0"/>
          <w:numId w:val="4"/>
        </w:numPr>
        <w:spacing w:before="100" w:beforeAutospacing="1" w:after="100" w:afterAutospacing="1"/>
        <w:jc w:val="both"/>
        <w:rPr>
          <w:rFonts w:ascii="Times New Roman" w:eastAsia="Times New Roman" w:hAnsi="Times New Roman" w:cs="Times New Roman"/>
          <w:sz w:val="24"/>
          <w:szCs w:val="24"/>
          <w:lang w:eastAsia="cs-CZ"/>
        </w:rPr>
      </w:pPr>
      <w:r w:rsidRPr="00C848AB">
        <w:rPr>
          <w:rFonts w:ascii="Arial" w:eastAsia="Times New Roman" w:hAnsi="Arial" w:cs="Arial"/>
          <w:sz w:val="18"/>
          <w:szCs w:val="18"/>
          <w:lang w:eastAsia="cs-CZ"/>
        </w:rPr>
        <w:t>L</w:t>
      </w:r>
      <w:r w:rsidR="00011FB8" w:rsidRPr="00C848AB">
        <w:rPr>
          <w:rFonts w:ascii="Arial" w:eastAsia="Times New Roman" w:hAnsi="Arial" w:cs="Arial"/>
          <w:sz w:val="18"/>
          <w:szCs w:val="18"/>
          <w:lang w:eastAsia="cs-CZ"/>
        </w:rPr>
        <w:t>éčb</w:t>
      </w:r>
      <w:r w:rsidRPr="00C848AB">
        <w:rPr>
          <w:rFonts w:ascii="Arial" w:eastAsia="Times New Roman" w:hAnsi="Arial" w:cs="Arial"/>
          <w:sz w:val="18"/>
          <w:szCs w:val="18"/>
          <w:lang w:eastAsia="cs-CZ"/>
        </w:rPr>
        <w:t>a</w:t>
      </w:r>
      <w:r w:rsidR="00011FB8" w:rsidRPr="00C848AB">
        <w:rPr>
          <w:rFonts w:ascii="Arial" w:eastAsia="Times New Roman" w:hAnsi="Arial" w:cs="Arial"/>
          <w:sz w:val="18"/>
          <w:szCs w:val="18"/>
          <w:lang w:eastAsia="cs-CZ"/>
        </w:rPr>
        <w:t xml:space="preserve"> ortodontických anomálií fixním ortodontickým aparátem na 1 zubní oblouk I</w:t>
      </w:r>
      <w:r w:rsidR="007071BF" w:rsidRPr="00C848AB">
        <w:rPr>
          <w:rFonts w:ascii="Arial" w:eastAsia="Times New Roman" w:hAnsi="Arial" w:cs="Arial"/>
          <w:sz w:val="18"/>
          <w:szCs w:val="18"/>
          <w:lang w:eastAsia="cs-CZ"/>
        </w:rPr>
        <w:t>,</w:t>
      </w:r>
      <w:r w:rsidR="00011FB8" w:rsidRPr="00C848AB">
        <w:rPr>
          <w:rFonts w:ascii="Arial" w:eastAsia="Times New Roman" w:hAnsi="Arial" w:cs="Arial"/>
          <w:sz w:val="18"/>
          <w:szCs w:val="18"/>
          <w:lang w:eastAsia="cs-CZ"/>
        </w:rPr>
        <w:t xml:space="preserve"> </w:t>
      </w:r>
      <w:r w:rsidRPr="00C848AB">
        <w:rPr>
          <w:rFonts w:ascii="Arial" w:eastAsia="Times New Roman" w:hAnsi="Arial" w:cs="Arial"/>
          <w:sz w:val="18"/>
          <w:szCs w:val="18"/>
          <w:lang w:eastAsia="cs-CZ"/>
        </w:rPr>
        <w:t xml:space="preserve">poskytnutá pojištěncům s rozštěpy rtu, čelisti a patra, vrozenými celkovými vadami a systémovým onemocněním s ortodontickými projevy, mnohočetnou hypodoncií (6 a více chybějících zubů v jedné čelisti, nezapočítávají se třetí moláry) bude </w:t>
      </w:r>
      <w:r w:rsidR="00555A8D" w:rsidRPr="00C848AB">
        <w:rPr>
          <w:rFonts w:ascii="Arial" w:eastAsia="Times New Roman" w:hAnsi="Arial" w:cs="Arial"/>
          <w:sz w:val="18"/>
          <w:szCs w:val="18"/>
          <w:lang w:eastAsia="cs-CZ"/>
        </w:rPr>
        <w:t>vykazován</w:t>
      </w:r>
      <w:r w:rsidRPr="00C848AB">
        <w:rPr>
          <w:rFonts w:ascii="Arial" w:eastAsia="Times New Roman" w:hAnsi="Arial" w:cs="Arial"/>
          <w:sz w:val="18"/>
          <w:szCs w:val="18"/>
          <w:lang w:eastAsia="cs-CZ"/>
        </w:rPr>
        <w:t>a</w:t>
      </w:r>
      <w:r w:rsidR="00011FB8" w:rsidRPr="00C848AB">
        <w:rPr>
          <w:rFonts w:ascii="Arial" w:eastAsia="Times New Roman" w:hAnsi="Arial" w:cs="Arial"/>
          <w:sz w:val="18"/>
          <w:szCs w:val="18"/>
          <w:lang w:eastAsia="cs-CZ"/>
        </w:rPr>
        <w:t xml:space="preserve"> </w:t>
      </w:r>
      <w:r w:rsidR="00C555B8" w:rsidRPr="00C848AB">
        <w:rPr>
          <w:rFonts w:ascii="Arial" w:eastAsia="Times New Roman" w:hAnsi="Arial" w:cs="Arial"/>
          <w:sz w:val="18"/>
          <w:szCs w:val="18"/>
          <w:lang w:eastAsia="cs-CZ"/>
        </w:rPr>
        <w:t>VZP kódy 00800 a 00801.</w:t>
      </w:r>
    </w:p>
    <w:p w14:paraId="56CFC15C" w14:textId="77777777" w:rsidR="00C555B8" w:rsidRPr="00C555B8" w:rsidRDefault="00C555B8" w:rsidP="00893FA5">
      <w:pPr>
        <w:pStyle w:val="Odstavecseseznamem"/>
        <w:spacing w:before="100" w:beforeAutospacing="1" w:after="100" w:afterAutospacing="1"/>
        <w:ind w:left="360"/>
        <w:jc w:val="both"/>
        <w:rPr>
          <w:rFonts w:ascii="Times New Roman" w:eastAsia="Times New Roman" w:hAnsi="Times New Roman" w:cs="Times New Roman"/>
          <w:sz w:val="24"/>
          <w:szCs w:val="24"/>
          <w:lang w:eastAsia="cs-CZ"/>
        </w:rPr>
      </w:pPr>
    </w:p>
    <w:p w14:paraId="7B39CE32" w14:textId="77777777" w:rsidR="00C555B8" w:rsidRPr="00CF1F31" w:rsidRDefault="00C555B8" w:rsidP="00CF1F31">
      <w:pPr>
        <w:pStyle w:val="Odstavecseseznamem"/>
        <w:numPr>
          <w:ilvl w:val="0"/>
          <w:numId w:val="12"/>
        </w:numPr>
        <w:tabs>
          <w:tab w:val="left" w:pos="567"/>
        </w:tabs>
        <w:overflowPunct w:val="0"/>
        <w:autoSpaceDE w:val="0"/>
        <w:autoSpaceDN w:val="0"/>
        <w:adjustRightInd w:val="0"/>
        <w:spacing w:before="120" w:after="0" w:line="240" w:lineRule="auto"/>
        <w:jc w:val="both"/>
        <w:textAlignment w:val="baseline"/>
        <w:rPr>
          <w:rFonts w:ascii="Arial" w:eastAsia="Times New Roman" w:hAnsi="Arial" w:cs="Arial"/>
          <w:sz w:val="18"/>
          <w:szCs w:val="18"/>
          <w:lang w:eastAsia="cs-CZ"/>
        </w:rPr>
      </w:pPr>
      <w:r w:rsidRPr="00CF1F31">
        <w:rPr>
          <w:rFonts w:ascii="Arial" w:eastAsia="Times New Roman" w:hAnsi="Arial" w:cs="Arial"/>
          <w:sz w:val="18"/>
          <w:szCs w:val="18"/>
          <w:lang w:eastAsia="cs-CZ"/>
        </w:rPr>
        <w:t xml:space="preserve">Výkon s VZP kódem 00800 je definován následovně: </w:t>
      </w:r>
    </w:p>
    <w:p w14:paraId="73A843F4" w14:textId="77777777" w:rsidR="00BD30F9" w:rsidRPr="00CF1F31" w:rsidRDefault="00CF1F31" w:rsidP="00CF1F31">
      <w:pPr>
        <w:spacing w:before="100" w:beforeAutospacing="1" w:after="100" w:afterAutospacing="1"/>
        <w:jc w:val="both"/>
        <w:rPr>
          <w:rFonts w:ascii="Times New Roman" w:eastAsia="Times New Roman" w:hAnsi="Times New Roman" w:cs="Times New Roman"/>
          <w:sz w:val="18"/>
          <w:szCs w:val="18"/>
          <w:u w:val="single"/>
          <w:lang w:eastAsia="cs-CZ"/>
        </w:rPr>
      </w:pPr>
      <w:bookmarkStart w:id="2" w:name="_Hlk89948498"/>
      <w:r>
        <w:rPr>
          <w:rFonts w:ascii="Arial" w:eastAsia="Times New Roman" w:hAnsi="Arial" w:cs="Arial"/>
          <w:sz w:val="18"/>
          <w:szCs w:val="18"/>
          <w:lang w:eastAsia="cs-CZ"/>
        </w:rPr>
        <w:t xml:space="preserve">        </w:t>
      </w:r>
      <w:r w:rsidR="00BD30F9" w:rsidRPr="00CF1F31">
        <w:rPr>
          <w:rFonts w:ascii="Arial" w:eastAsia="Times New Roman" w:hAnsi="Arial" w:cs="Arial"/>
          <w:bCs/>
          <w:iCs/>
          <w:sz w:val="18"/>
          <w:szCs w:val="18"/>
          <w:u w:val="single"/>
          <w:lang w:eastAsia="cs-CZ"/>
        </w:rPr>
        <w:t xml:space="preserve">Zahájení léčby ortodontických anomálií fixním ortodontickým aparátem na 1 zubní oblouk </w:t>
      </w:r>
      <w:bookmarkEnd w:id="2"/>
      <w:r w:rsidR="00BD30F9" w:rsidRPr="00CF1F31">
        <w:rPr>
          <w:rFonts w:ascii="Arial" w:eastAsia="Times New Roman" w:hAnsi="Arial" w:cs="Arial"/>
          <w:bCs/>
          <w:iCs/>
          <w:sz w:val="18"/>
          <w:szCs w:val="18"/>
          <w:u w:val="single"/>
          <w:lang w:eastAsia="cs-CZ"/>
        </w:rPr>
        <w:t>I</w:t>
      </w:r>
    </w:p>
    <w:p w14:paraId="1943E825" w14:textId="77777777" w:rsidR="00BD30F9" w:rsidRPr="00C555B8" w:rsidRDefault="00BD30F9" w:rsidP="00C555B8">
      <w:pPr>
        <w:tabs>
          <w:tab w:val="left" w:pos="567"/>
        </w:tabs>
        <w:spacing w:before="120" w:after="0" w:line="240" w:lineRule="auto"/>
        <w:ind w:left="567"/>
        <w:jc w:val="both"/>
        <w:rPr>
          <w:rFonts w:ascii="Arial" w:eastAsia="Times New Roman" w:hAnsi="Arial" w:cs="Arial"/>
          <w:sz w:val="18"/>
          <w:szCs w:val="18"/>
          <w:lang w:eastAsia="cs-CZ"/>
        </w:rPr>
      </w:pPr>
      <w:r w:rsidRPr="00C555B8">
        <w:rPr>
          <w:rFonts w:ascii="Arial" w:eastAsia="Times New Roman" w:hAnsi="Arial" w:cs="Arial"/>
          <w:sz w:val="18"/>
          <w:szCs w:val="18"/>
          <w:lang w:eastAsia="cs-CZ"/>
        </w:rPr>
        <w:t>Zahájení léčby ortodontických anomálií fixním ortodontickým aparátem – na jeden zubní oblouk. Zahrnuje nasazení prvků fixního aparátu včetně přípravy zubů. Zahrnuje veškerý přímý materiál ortodontického aparátu použitý při zahájení léčby a při pokračování v léčbě v kalendářním roce, ve kterém byl nasazen fixní ortodontický aparát.</w:t>
      </w:r>
    </w:p>
    <w:p w14:paraId="5D2D9AB2" w14:textId="77777777" w:rsidR="00CF1F31" w:rsidRDefault="00CF1F31" w:rsidP="00CF1F31">
      <w:pPr>
        <w:spacing w:before="100" w:beforeAutospacing="1" w:after="100" w:afterAutospacing="1"/>
        <w:ind w:right="57"/>
        <w:jc w:val="both"/>
        <w:rPr>
          <w:rFonts w:ascii="Arial" w:hAnsi="Arial" w:cs="Arial"/>
          <w:sz w:val="18"/>
          <w:szCs w:val="18"/>
          <w:lang w:eastAsia="cs-CZ"/>
        </w:rPr>
      </w:pPr>
      <w:r>
        <w:rPr>
          <w:rFonts w:ascii="Arial" w:hAnsi="Arial" w:cs="Arial"/>
          <w:sz w:val="18"/>
          <w:szCs w:val="18"/>
          <w:lang w:eastAsia="cs-CZ"/>
        </w:rPr>
        <w:lastRenderedPageBreak/>
        <w:t xml:space="preserve">         </w:t>
      </w:r>
      <w:r w:rsidR="008838CE">
        <w:rPr>
          <w:rFonts w:ascii="Arial" w:hAnsi="Arial" w:cs="Arial"/>
          <w:sz w:val="18"/>
          <w:szCs w:val="18"/>
          <w:u w:val="single"/>
          <w:lang w:eastAsia="cs-CZ"/>
        </w:rPr>
        <w:t>Regu</w:t>
      </w:r>
      <w:r w:rsidR="00BD30F9" w:rsidRPr="008838CE">
        <w:rPr>
          <w:rFonts w:ascii="Arial" w:hAnsi="Arial" w:cs="Arial"/>
          <w:sz w:val="18"/>
          <w:szCs w:val="18"/>
          <w:u w:val="single"/>
          <w:lang w:eastAsia="cs-CZ"/>
        </w:rPr>
        <w:t>lační omezení</w:t>
      </w:r>
      <w:r w:rsidR="00BD30F9" w:rsidRPr="008838CE">
        <w:rPr>
          <w:rFonts w:ascii="Arial" w:hAnsi="Arial" w:cs="Arial"/>
          <w:sz w:val="18"/>
          <w:szCs w:val="18"/>
          <w:lang w:eastAsia="cs-CZ"/>
        </w:rPr>
        <w:t>: Lze vykázat 2 / 1 čelist / 1 pojištěnce.</w:t>
      </w:r>
    </w:p>
    <w:p w14:paraId="399494E7" w14:textId="77777777" w:rsidR="007F2CA1" w:rsidRDefault="00BD30F9" w:rsidP="00CF1F31">
      <w:pPr>
        <w:tabs>
          <w:tab w:val="left" w:pos="567"/>
        </w:tabs>
        <w:spacing w:before="120" w:after="0" w:line="240" w:lineRule="auto"/>
        <w:ind w:left="567"/>
        <w:jc w:val="both"/>
        <w:rPr>
          <w:rFonts w:ascii="Arial" w:eastAsia="Times New Roman" w:hAnsi="Arial" w:cs="Arial"/>
          <w:sz w:val="18"/>
          <w:szCs w:val="18"/>
          <w:lang w:eastAsia="cs-CZ"/>
        </w:rPr>
      </w:pPr>
      <w:r w:rsidRPr="00CF1F31">
        <w:rPr>
          <w:rFonts w:ascii="Arial" w:eastAsia="Times New Roman" w:hAnsi="Arial" w:cs="Arial"/>
          <w:sz w:val="18"/>
          <w:szCs w:val="18"/>
          <w:lang w:eastAsia="cs-CZ"/>
        </w:rPr>
        <w:t>Nelze vykázat v kombinaci s kódem 00982 a 00801. Lze vykázat pouze u pojištěnců s rozštěpy rtu, čelisti a patra, vrozenými celkovými vadami a systémovým onemocněním s ortodontickými projevy, mnohočetnou hypodoncií (6 a více chybějících zubů v jedné čelist</w:t>
      </w:r>
      <w:r w:rsidR="00555A8D">
        <w:rPr>
          <w:rFonts w:ascii="Arial" w:eastAsia="Times New Roman" w:hAnsi="Arial" w:cs="Arial"/>
          <w:sz w:val="18"/>
          <w:szCs w:val="18"/>
          <w:lang w:eastAsia="cs-CZ"/>
        </w:rPr>
        <w:t>i</w:t>
      </w:r>
      <w:r w:rsidRPr="00CF1F31">
        <w:rPr>
          <w:rFonts w:ascii="Arial" w:eastAsia="Times New Roman" w:hAnsi="Arial" w:cs="Arial"/>
          <w:sz w:val="18"/>
          <w:szCs w:val="18"/>
          <w:lang w:eastAsia="cs-CZ"/>
        </w:rPr>
        <w:t xml:space="preserve">, nezapočítávají se třetí moláry). </w:t>
      </w:r>
    </w:p>
    <w:p w14:paraId="14212D86" w14:textId="77777777" w:rsidR="00BD30F9" w:rsidRPr="00CF1F31" w:rsidRDefault="007F2CA1" w:rsidP="00CF1F31">
      <w:pPr>
        <w:tabs>
          <w:tab w:val="left" w:pos="567"/>
        </w:tabs>
        <w:spacing w:before="120" w:after="0" w:line="240" w:lineRule="auto"/>
        <w:ind w:left="567"/>
        <w:jc w:val="both"/>
        <w:rPr>
          <w:rFonts w:ascii="Arial" w:eastAsia="Times New Roman" w:hAnsi="Arial" w:cs="Arial"/>
          <w:sz w:val="18"/>
          <w:szCs w:val="18"/>
          <w:lang w:eastAsia="cs-CZ"/>
        </w:rPr>
      </w:pPr>
      <w:r>
        <w:rPr>
          <w:rFonts w:ascii="Arial" w:eastAsia="Times New Roman" w:hAnsi="Arial" w:cs="Arial"/>
          <w:sz w:val="18"/>
          <w:szCs w:val="18"/>
          <w:lang w:eastAsia="cs-CZ"/>
        </w:rPr>
        <w:t>Vykazuje o</w:t>
      </w:r>
      <w:r w:rsidR="00BD30F9" w:rsidRPr="00CF1F31">
        <w:rPr>
          <w:rFonts w:ascii="Arial" w:eastAsia="Times New Roman" w:hAnsi="Arial" w:cs="Arial"/>
          <w:sz w:val="18"/>
          <w:szCs w:val="18"/>
          <w:lang w:eastAsia="cs-CZ"/>
        </w:rPr>
        <w:t xml:space="preserve">dbornost 015 podle </w:t>
      </w:r>
      <w:r>
        <w:rPr>
          <w:rFonts w:ascii="Arial" w:eastAsia="Times New Roman" w:hAnsi="Arial" w:cs="Arial"/>
          <w:sz w:val="18"/>
          <w:szCs w:val="18"/>
          <w:lang w:eastAsia="cs-CZ"/>
        </w:rPr>
        <w:t xml:space="preserve">vyhlášky č. 134/1998 Sb., kterou se vydává </w:t>
      </w:r>
      <w:r w:rsidR="00BD30F9" w:rsidRPr="00CF1F31">
        <w:rPr>
          <w:rFonts w:ascii="Arial" w:eastAsia="Times New Roman" w:hAnsi="Arial" w:cs="Arial"/>
          <w:sz w:val="18"/>
          <w:szCs w:val="18"/>
          <w:lang w:eastAsia="cs-CZ"/>
        </w:rPr>
        <w:t>seznam</w:t>
      </w:r>
      <w:r>
        <w:rPr>
          <w:rFonts w:ascii="Arial" w:eastAsia="Times New Roman" w:hAnsi="Arial" w:cs="Arial"/>
          <w:sz w:val="18"/>
          <w:szCs w:val="18"/>
          <w:lang w:eastAsia="cs-CZ"/>
        </w:rPr>
        <w:t xml:space="preserve"> zdravotních</w:t>
      </w:r>
      <w:r w:rsidR="00BD30F9" w:rsidRPr="00CF1F31">
        <w:rPr>
          <w:rFonts w:ascii="Arial" w:eastAsia="Times New Roman" w:hAnsi="Arial" w:cs="Arial"/>
          <w:sz w:val="18"/>
          <w:szCs w:val="18"/>
          <w:lang w:eastAsia="cs-CZ"/>
        </w:rPr>
        <w:t xml:space="preserve"> výkonů</w:t>
      </w:r>
      <w:r>
        <w:rPr>
          <w:rFonts w:ascii="Arial" w:eastAsia="Times New Roman" w:hAnsi="Arial" w:cs="Arial"/>
          <w:sz w:val="18"/>
          <w:szCs w:val="18"/>
          <w:lang w:eastAsia="cs-CZ"/>
        </w:rPr>
        <w:t xml:space="preserve"> s bodovými hodnotami</w:t>
      </w:r>
      <w:r w:rsidR="00BD30F9" w:rsidRPr="00CF1F31">
        <w:rPr>
          <w:rFonts w:ascii="Arial" w:eastAsia="Times New Roman" w:hAnsi="Arial" w:cs="Arial"/>
          <w:sz w:val="18"/>
          <w:szCs w:val="18"/>
          <w:lang w:eastAsia="cs-CZ"/>
        </w:rPr>
        <w:t>.</w:t>
      </w:r>
    </w:p>
    <w:p w14:paraId="57DC2BB8" w14:textId="77777777" w:rsidR="00BD30F9" w:rsidRPr="008838CE" w:rsidRDefault="0017072A" w:rsidP="00BD30F9">
      <w:pPr>
        <w:spacing w:before="100" w:beforeAutospacing="1" w:after="100" w:afterAutospacing="1"/>
        <w:ind w:right="57"/>
        <w:jc w:val="both"/>
        <w:rPr>
          <w:rFonts w:ascii="Arial" w:hAnsi="Arial" w:cs="Arial"/>
          <w:sz w:val="18"/>
          <w:szCs w:val="18"/>
          <w:lang w:eastAsia="cs-CZ"/>
        </w:rPr>
      </w:pPr>
      <w:r>
        <w:rPr>
          <w:rFonts w:ascii="Arial" w:hAnsi="Arial" w:cs="Arial"/>
          <w:sz w:val="18"/>
          <w:szCs w:val="18"/>
          <w:lang w:eastAsia="cs-CZ"/>
        </w:rPr>
        <w:t xml:space="preserve">           </w:t>
      </w:r>
      <w:r w:rsidR="00BD30F9" w:rsidRPr="008838CE">
        <w:rPr>
          <w:rFonts w:ascii="Arial" w:hAnsi="Arial" w:cs="Arial"/>
          <w:sz w:val="18"/>
          <w:szCs w:val="18"/>
          <w:u w:val="single"/>
          <w:lang w:eastAsia="cs-CZ"/>
        </w:rPr>
        <w:t xml:space="preserve">Výše úhrady: </w:t>
      </w:r>
      <w:r w:rsidR="00BD30F9" w:rsidRPr="008838CE">
        <w:rPr>
          <w:rFonts w:ascii="Arial" w:hAnsi="Arial" w:cs="Arial"/>
          <w:sz w:val="18"/>
          <w:szCs w:val="18"/>
          <w:lang w:eastAsia="cs-CZ"/>
        </w:rPr>
        <w:t>8 629 Kč</w:t>
      </w:r>
    </w:p>
    <w:p w14:paraId="34861AF8" w14:textId="77777777" w:rsidR="00BD30F9" w:rsidRDefault="00CF1F31" w:rsidP="00BD30F9">
      <w:pPr>
        <w:spacing w:before="100" w:beforeAutospacing="1" w:after="100" w:afterAutospacing="1"/>
        <w:ind w:right="57"/>
        <w:jc w:val="both"/>
        <w:rPr>
          <w:rFonts w:ascii="Arial" w:hAnsi="Arial" w:cs="Arial"/>
          <w:sz w:val="18"/>
          <w:szCs w:val="18"/>
          <w:lang w:eastAsia="cs-CZ"/>
        </w:rPr>
      </w:pPr>
      <w:r>
        <w:rPr>
          <w:rFonts w:ascii="Arial" w:hAnsi="Arial" w:cs="Arial"/>
          <w:sz w:val="18"/>
          <w:szCs w:val="18"/>
          <w:lang w:eastAsia="cs-CZ"/>
        </w:rPr>
        <w:t xml:space="preserve">           </w:t>
      </w:r>
      <w:r w:rsidR="00BD30F9" w:rsidRPr="00CF1F31">
        <w:rPr>
          <w:rFonts w:ascii="Arial" w:hAnsi="Arial" w:cs="Arial"/>
          <w:sz w:val="18"/>
          <w:szCs w:val="18"/>
          <w:lang w:eastAsia="cs-CZ"/>
        </w:rPr>
        <w:t>Lokalizace: čelist</w:t>
      </w:r>
    </w:p>
    <w:p w14:paraId="17C56FDE" w14:textId="77777777" w:rsidR="00CF1F31" w:rsidRPr="00CF1F31" w:rsidRDefault="00CF1F31" w:rsidP="00CF1F31">
      <w:pPr>
        <w:pStyle w:val="Odstavecseseznamem"/>
        <w:numPr>
          <w:ilvl w:val="0"/>
          <w:numId w:val="12"/>
        </w:numPr>
        <w:tabs>
          <w:tab w:val="left" w:pos="567"/>
        </w:tabs>
        <w:overflowPunct w:val="0"/>
        <w:autoSpaceDE w:val="0"/>
        <w:autoSpaceDN w:val="0"/>
        <w:adjustRightInd w:val="0"/>
        <w:spacing w:before="120" w:after="0" w:line="240" w:lineRule="auto"/>
        <w:jc w:val="both"/>
        <w:textAlignment w:val="baseline"/>
        <w:rPr>
          <w:rFonts w:ascii="Arial" w:eastAsia="Times New Roman" w:hAnsi="Arial" w:cs="Arial"/>
          <w:sz w:val="18"/>
          <w:szCs w:val="18"/>
          <w:lang w:eastAsia="cs-CZ"/>
        </w:rPr>
      </w:pPr>
      <w:r w:rsidRPr="00CF1F31">
        <w:rPr>
          <w:rFonts w:ascii="Arial" w:hAnsi="Arial" w:cs="Arial"/>
          <w:sz w:val="18"/>
          <w:szCs w:val="18"/>
          <w:lang w:eastAsia="cs-CZ"/>
        </w:rPr>
        <w:t>V</w:t>
      </w:r>
      <w:r w:rsidRPr="00CF1F31">
        <w:rPr>
          <w:rFonts w:ascii="Arial" w:eastAsia="Times New Roman" w:hAnsi="Arial" w:cs="Arial"/>
          <w:sz w:val="18"/>
          <w:szCs w:val="18"/>
          <w:lang w:eastAsia="cs-CZ"/>
        </w:rPr>
        <w:t xml:space="preserve">ýkon s VZP kódem 00801 je definován následovně: </w:t>
      </w:r>
    </w:p>
    <w:p w14:paraId="0C614DFA" w14:textId="77777777" w:rsidR="00BD30F9" w:rsidRPr="00CF1F31" w:rsidRDefault="00CF1F31" w:rsidP="00CF1F31">
      <w:pPr>
        <w:spacing w:before="100" w:beforeAutospacing="1" w:after="100" w:afterAutospacing="1" w:line="240" w:lineRule="auto"/>
        <w:jc w:val="both"/>
        <w:rPr>
          <w:rFonts w:ascii="Arial" w:eastAsia="Times New Roman" w:hAnsi="Arial" w:cs="Arial"/>
          <w:bCs/>
          <w:iCs/>
          <w:sz w:val="18"/>
          <w:szCs w:val="18"/>
          <w:u w:val="single"/>
          <w:lang w:eastAsia="cs-CZ"/>
        </w:rPr>
      </w:pPr>
      <w:r>
        <w:rPr>
          <w:rFonts w:ascii="Arial" w:eastAsia="Times New Roman" w:hAnsi="Arial" w:cs="Arial"/>
          <w:sz w:val="18"/>
          <w:szCs w:val="18"/>
          <w:lang w:eastAsia="cs-CZ"/>
        </w:rPr>
        <w:t xml:space="preserve">           </w:t>
      </w:r>
      <w:r w:rsidR="00BD30F9" w:rsidRPr="00CF1F31">
        <w:rPr>
          <w:rFonts w:ascii="Arial" w:eastAsia="Times New Roman" w:hAnsi="Arial" w:cs="Arial"/>
          <w:bCs/>
          <w:iCs/>
          <w:sz w:val="18"/>
          <w:szCs w:val="18"/>
          <w:u w:val="single"/>
          <w:lang w:eastAsia="cs-CZ"/>
        </w:rPr>
        <w:t>Pokračování léčby ortodontických anomálií fixním ortodontickým aparátem na 1 zubní oblouk I</w:t>
      </w:r>
    </w:p>
    <w:p w14:paraId="0BF91763" w14:textId="77777777" w:rsidR="00BD30F9" w:rsidRPr="00CF1F31" w:rsidRDefault="00BD30F9" w:rsidP="00CF1F31">
      <w:pPr>
        <w:tabs>
          <w:tab w:val="left" w:pos="567"/>
        </w:tabs>
        <w:spacing w:before="120" w:after="0" w:line="240" w:lineRule="auto"/>
        <w:ind w:left="567"/>
        <w:jc w:val="both"/>
        <w:rPr>
          <w:rFonts w:ascii="Arial" w:eastAsia="Times New Roman" w:hAnsi="Arial" w:cs="Arial"/>
          <w:sz w:val="18"/>
          <w:szCs w:val="18"/>
          <w:lang w:eastAsia="cs-CZ"/>
        </w:rPr>
      </w:pPr>
      <w:r w:rsidRPr="00CF1F31">
        <w:rPr>
          <w:rFonts w:ascii="Arial" w:eastAsia="Times New Roman" w:hAnsi="Arial" w:cs="Arial"/>
          <w:sz w:val="18"/>
          <w:szCs w:val="18"/>
          <w:lang w:eastAsia="cs-CZ"/>
        </w:rPr>
        <w:t>Náklady na veškerý přímý materiál ortodontického aparátu použitý v průběhu léčby v jednom kalendářním roce, tj. v rámci kontrol vykazovaných kódem 00983, s výjimkou kalendářního roku, ve kterém byl nasazen fixní ortodontický aparát, a to včetně případného prefabrikovaného intraorálního oblouku (nasazení se vykazuje kódem 00991)</w:t>
      </w:r>
      <w:r w:rsidR="00CF1F31">
        <w:rPr>
          <w:rFonts w:ascii="Arial" w:eastAsia="Times New Roman" w:hAnsi="Arial" w:cs="Arial"/>
          <w:sz w:val="18"/>
          <w:szCs w:val="18"/>
          <w:lang w:eastAsia="cs-CZ"/>
        </w:rPr>
        <w:t xml:space="preserve"> </w:t>
      </w:r>
      <w:r w:rsidRPr="00CF1F31">
        <w:rPr>
          <w:rFonts w:ascii="Arial" w:eastAsia="Times New Roman" w:hAnsi="Arial" w:cs="Arial"/>
          <w:sz w:val="18"/>
          <w:szCs w:val="18"/>
          <w:lang w:eastAsia="cs-CZ"/>
        </w:rPr>
        <w:t>a parciálního oblouku (navázání se vykazuje kódem 00993).</w:t>
      </w:r>
    </w:p>
    <w:p w14:paraId="6E02E0D7" w14:textId="77777777" w:rsidR="00BD30F9" w:rsidRPr="00F66A5A" w:rsidRDefault="00F66A5A" w:rsidP="00BD30F9">
      <w:pPr>
        <w:spacing w:before="100" w:beforeAutospacing="1" w:after="100" w:afterAutospacing="1"/>
        <w:ind w:right="57"/>
        <w:jc w:val="both"/>
        <w:rPr>
          <w:rFonts w:ascii="Arial" w:hAnsi="Arial" w:cs="Arial"/>
          <w:sz w:val="18"/>
          <w:szCs w:val="18"/>
          <w:lang w:eastAsia="cs-CZ"/>
        </w:rPr>
      </w:pPr>
      <w:r>
        <w:rPr>
          <w:rFonts w:ascii="Arial" w:hAnsi="Arial" w:cs="Arial"/>
          <w:sz w:val="18"/>
          <w:szCs w:val="18"/>
          <w:lang w:eastAsia="cs-CZ"/>
        </w:rPr>
        <w:t xml:space="preserve">           </w:t>
      </w:r>
      <w:r w:rsidR="00BD30F9" w:rsidRPr="0017072A">
        <w:rPr>
          <w:rFonts w:ascii="Arial" w:hAnsi="Arial" w:cs="Arial"/>
          <w:sz w:val="18"/>
          <w:szCs w:val="18"/>
          <w:u w:val="single"/>
          <w:lang w:eastAsia="cs-CZ"/>
        </w:rPr>
        <w:t>Regulační omezení</w:t>
      </w:r>
      <w:r w:rsidR="00BD30F9" w:rsidRPr="00F66A5A">
        <w:rPr>
          <w:rFonts w:ascii="Arial" w:hAnsi="Arial" w:cs="Arial"/>
          <w:sz w:val="18"/>
          <w:szCs w:val="18"/>
          <w:lang w:eastAsia="cs-CZ"/>
        </w:rPr>
        <w:t>: Lze vykázat 1 / 1 čelist/ 1 kalendářní rok/ 1 pojištěnce.</w:t>
      </w:r>
    </w:p>
    <w:p w14:paraId="7F789AED" w14:textId="77777777" w:rsidR="00BD30F9" w:rsidRDefault="00BD30F9" w:rsidP="0017072A">
      <w:pPr>
        <w:tabs>
          <w:tab w:val="left" w:pos="567"/>
        </w:tabs>
        <w:spacing w:before="120" w:after="0" w:line="240" w:lineRule="auto"/>
        <w:ind w:left="567"/>
        <w:jc w:val="both"/>
        <w:rPr>
          <w:rFonts w:ascii="Arial" w:eastAsia="Times New Roman" w:hAnsi="Arial" w:cs="Arial"/>
          <w:sz w:val="18"/>
          <w:szCs w:val="18"/>
          <w:lang w:eastAsia="cs-CZ"/>
        </w:rPr>
      </w:pPr>
      <w:r w:rsidRPr="0017072A">
        <w:rPr>
          <w:rFonts w:ascii="Arial" w:eastAsia="Times New Roman" w:hAnsi="Arial" w:cs="Arial"/>
          <w:sz w:val="18"/>
          <w:szCs w:val="18"/>
          <w:lang w:eastAsia="cs-CZ"/>
        </w:rPr>
        <w:t>Lze vykázat při první kontrole léčby ortodontických anomálií s použitím fixního ortodontického aparátu v kalendářním roce s výjimkou kalendářního roku, ve kterém byl vykázán kód 00800, a to pouze u pojištěnců s rozštěpy rtu, čelisti a patra, vrozenými celkovými vadami a systémovým onemocněním s ortodontickými projevy, mnohočetnou hypodoncií (6 a více chybějících zubů v jedné čelist, nezapočítávají se třetí moláry).</w:t>
      </w:r>
    </w:p>
    <w:p w14:paraId="50DC7BFE" w14:textId="77777777" w:rsidR="0076556C" w:rsidRPr="0017072A" w:rsidRDefault="0076556C" w:rsidP="0076556C">
      <w:pPr>
        <w:tabs>
          <w:tab w:val="left" w:pos="567"/>
        </w:tabs>
        <w:spacing w:before="120" w:after="0" w:line="240" w:lineRule="auto"/>
        <w:ind w:left="567"/>
        <w:jc w:val="both"/>
        <w:rPr>
          <w:rFonts w:ascii="Arial" w:eastAsia="Times New Roman" w:hAnsi="Arial" w:cs="Arial"/>
          <w:sz w:val="18"/>
          <w:szCs w:val="18"/>
          <w:lang w:eastAsia="cs-CZ"/>
        </w:rPr>
      </w:pPr>
      <w:r>
        <w:rPr>
          <w:rFonts w:ascii="Arial" w:eastAsia="Times New Roman" w:hAnsi="Arial" w:cs="Arial"/>
          <w:sz w:val="18"/>
          <w:szCs w:val="18"/>
          <w:lang w:eastAsia="cs-CZ"/>
        </w:rPr>
        <w:t>Vykazuje o</w:t>
      </w:r>
      <w:r w:rsidRPr="00CF1F31">
        <w:rPr>
          <w:rFonts w:ascii="Arial" w:eastAsia="Times New Roman" w:hAnsi="Arial" w:cs="Arial"/>
          <w:sz w:val="18"/>
          <w:szCs w:val="18"/>
          <w:lang w:eastAsia="cs-CZ"/>
        </w:rPr>
        <w:t xml:space="preserve">dbornost 015 podle </w:t>
      </w:r>
      <w:r>
        <w:rPr>
          <w:rFonts w:ascii="Arial" w:eastAsia="Times New Roman" w:hAnsi="Arial" w:cs="Arial"/>
          <w:sz w:val="18"/>
          <w:szCs w:val="18"/>
          <w:lang w:eastAsia="cs-CZ"/>
        </w:rPr>
        <w:t xml:space="preserve">vyhlášky č. 134/1998 Sb., kterou se vydává </w:t>
      </w:r>
      <w:r w:rsidRPr="00CF1F31">
        <w:rPr>
          <w:rFonts w:ascii="Arial" w:eastAsia="Times New Roman" w:hAnsi="Arial" w:cs="Arial"/>
          <w:sz w:val="18"/>
          <w:szCs w:val="18"/>
          <w:lang w:eastAsia="cs-CZ"/>
        </w:rPr>
        <w:t>seznam</w:t>
      </w:r>
      <w:r>
        <w:rPr>
          <w:rFonts w:ascii="Arial" w:eastAsia="Times New Roman" w:hAnsi="Arial" w:cs="Arial"/>
          <w:sz w:val="18"/>
          <w:szCs w:val="18"/>
          <w:lang w:eastAsia="cs-CZ"/>
        </w:rPr>
        <w:t xml:space="preserve"> zdravotních</w:t>
      </w:r>
      <w:r w:rsidRPr="00CF1F31">
        <w:rPr>
          <w:rFonts w:ascii="Arial" w:eastAsia="Times New Roman" w:hAnsi="Arial" w:cs="Arial"/>
          <w:sz w:val="18"/>
          <w:szCs w:val="18"/>
          <w:lang w:eastAsia="cs-CZ"/>
        </w:rPr>
        <w:t xml:space="preserve"> výkonů</w:t>
      </w:r>
      <w:r>
        <w:rPr>
          <w:rFonts w:ascii="Arial" w:eastAsia="Times New Roman" w:hAnsi="Arial" w:cs="Arial"/>
          <w:sz w:val="18"/>
          <w:szCs w:val="18"/>
          <w:lang w:eastAsia="cs-CZ"/>
        </w:rPr>
        <w:t xml:space="preserve"> s bodovými hodnotami.</w:t>
      </w:r>
    </w:p>
    <w:p w14:paraId="358DAFE4" w14:textId="77777777" w:rsidR="00BD30F9" w:rsidRPr="0017072A" w:rsidRDefault="0017072A" w:rsidP="00BD30F9">
      <w:pPr>
        <w:spacing w:before="100" w:beforeAutospacing="1" w:after="100" w:afterAutospacing="1"/>
        <w:ind w:right="57"/>
        <w:jc w:val="both"/>
        <w:rPr>
          <w:rFonts w:ascii="Arial" w:hAnsi="Arial" w:cs="Arial"/>
          <w:sz w:val="18"/>
          <w:szCs w:val="18"/>
          <w:u w:val="single"/>
          <w:lang w:eastAsia="cs-CZ"/>
        </w:rPr>
      </w:pPr>
      <w:r>
        <w:rPr>
          <w:rFonts w:ascii="Arial" w:hAnsi="Arial" w:cs="Arial"/>
          <w:sz w:val="18"/>
          <w:szCs w:val="18"/>
          <w:lang w:eastAsia="cs-CZ"/>
        </w:rPr>
        <w:t xml:space="preserve">           </w:t>
      </w:r>
      <w:r w:rsidRPr="0017072A">
        <w:rPr>
          <w:rFonts w:ascii="Arial" w:hAnsi="Arial" w:cs="Arial"/>
          <w:sz w:val="18"/>
          <w:szCs w:val="18"/>
          <w:u w:val="single"/>
          <w:lang w:eastAsia="cs-CZ"/>
        </w:rPr>
        <w:t>Výš</w:t>
      </w:r>
      <w:r w:rsidR="00BD30F9" w:rsidRPr="0017072A">
        <w:rPr>
          <w:rFonts w:ascii="Arial" w:hAnsi="Arial" w:cs="Arial"/>
          <w:sz w:val="18"/>
          <w:szCs w:val="18"/>
          <w:u w:val="single"/>
          <w:lang w:eastAsia="cs-CZ"/>
        </w:rPr>
        <w:t>e úhrady:</w:t>
      </w:r>
      <w:r w:rsidR="00BD30F9" w:rsidRPr="0017072A">
        <w:rPr>
          <w:rFonts w:ascii="Arial" w:hAnsi="Arial" w:cs="Arial"/>
          <w:sz w:val="18"/>
          <w:szCs w:val="18"/>
          <w:lang w:eastAsia="cs-CZ"/>
        </w:rPr>
        <w:t xml:space="preserve"> 1 500 Kč</w:t>
      </w:r>
    </w:p>
    <w:p w14:paraId="17A197E5" w14:textId="77777777" w:rsidR="00BD30F9" w:rsidRDefault="0017072A" w:rsidP="00BD30F9">
      <w:pPr>
        <w:spacing w:before="100" w:beforeAutospacing="1" w:after="100" w:afterAutospacing="1"/>
        <w:ind w:right="57"/>
        <w:jc w:val="both"/>
        <w:rPr>
          <w:rFonts w:ascii="Arial" w:hAnsi="Arial" w:cs="Arial"/>
          <w:sz w:val="18"/>
          <w:szCs w:val="18"/>
          <w:lang w:eastAsia="cs-CZ"/>
        </w:rPr>
      </w:pPr>
      <w:r>
        <w:rPr>
          <w:rFonts w:ascii="Arial" w:hAnsi="Arial" w:cs="Arial"/>
          <w:sz w:val="18"/>
          <w:szCs w:val="18"/>
          <w:lang w:eastAsia="cs-CZ"/>
        </w:rPr>
        <w:t xml:space="preserve">           </w:t>
      </w:r>
      <w:r w:rsidRPr="0017072A">
        <w:rPr>
          <w:rFonts w:ascii="Arial" w:hAnsi="Arial" w:cs="Arial"/>
          <w:sz w:val="18"/>
          <w:szCs w:val="18"/>
          <w:lang w:eastAsia="cs-CZ"/>
        </w:rPr>
        <w:t>Lo</w:t>
      </w:r>
      <w:r w:rsidR="00BD30F9" w:rsidRPr="0017072A">
        <w:rPr>
          <w:rFonts w:ascii="Arial" w:hAnsi="Arial" w:cs="Arial"/>
          <w:sz w:val="18"/>
          <w:szCs w:val="18"/>
          <w:lang w:eastAsia="cs-CZ"/>
        </w:rPr>
        <w:t>kalizace: čelist</w:t>
      </w:r>
    </w:p>
    <w:p w14:paraId="2D4CEC68" w14:textId="77777777" w:rsidR="002B2BA8" w:rsidRPr="002B2BA8" w:rsidRDefault="002B2BA8" w:rsidP="002B2BA8">
      <w:pPr>
        <w:pStyle w:val="Odstavecseseznamem"/>
        <w:spacing w:before="100" w:beforeAutospacing="1" w:after="100" w:afterAutospacing="1"/>
        <w:ind w:left="360"/>
        <w:jc w:val="both"/>
        <w:rPr>
          <w:rFonts w:ascii="Arial" w:eastAsia="Times New Roman" w:hAnsi="Arial" w:cs="Arial"/>
          <w:sz w:val="18"/>
          <w:szCs w:val="18"/>
          <w:lang w:eastAsia="cs-CZ"/>
        </w:rPr>
      </w:pPr>
    </w:p>
    <w:p w14:paraId="7B161ECE" w14:textId="77777777" w:rsidR="004E3F5F" w:rsidRDefault="004E3F5F" w:rsidP="004E3F5F">
      <w:pPr>
        <w:tabs>
          <w:tab w:val="left" w:pos="284"/>
        </w:tabs>
        <w:spacing w:before="240" w:after="120" w:line="240" w:lineRule="auto"/>
        <w:ind w:left="284" w:hanging="284"/>
        <w:jc w:val="center"/>
        <w:rPr>
          <w:rFonts w:ascii="Arial" w:eastAsia="Times New Roman" w:hAnsi="Arial" w:cs="Arial"/>
          <w:b/>
          <w:sz w:val="20"/>
          <w:szCs w:val="20"/>
          <w:lang w:eastAsia="cs-CZ"/>
        </w:rPr>
      </w:pPr>
      <w:r w:rsidRPr="004E3F5F">
        <w:rPr>
          <w:rFonts w:ascii="Arial" w:eastAsia="Times New Roman" w:hAnsi="Arial" w:cs="Arial"/>
          <w:b/>
          <w:sz w:val="20"/>
          <w:szCs w:val="20"/>
          <w:lang w:eastAsia="cs-CZ"/>
        </w:rPr>
        <w:t>Článek III.</w:t>
      </w:r>
    </w:p>
    <w:p w14:paraId="1AA8BA8D" w14:textId="77777777" w:rsidR="00E9728F" w:rsidRPr="00E9728F" w:rsidRDefault="00E9728F" w:rsidP="00E9728F">
      <w:pPr>
        <w:tabs>
          <w:tab w:val="left" w:pos="-142"/>
          <w:tab w:val="left" w:pos="284"/>
        </w:tabs>
        <w:overflowPunct w:val="0"/>
        <w:autoSpaceDE w:val="0"/>
        <w:autoSpaceDN w:val="0"/>
        <w:adjustRightInd w:val="0"/>
        <w:spacing w:before="120" w:after="120" w:line="240" w:lineRule="auto"/>
        <w:ind w:left="284" w:hanging="284"/>
        <w:jc w:val="center"/>
        <w:textAlignment w:val="baseline"/>
        <w:rPr>
          <w:rFonts w:ascii="Arial" w:eastAsia="Times New Roman" w:hAnsi="Arial" w:cs="Arial"/>
          <w:b/>
          <w:sz w:val="20"/>
          <w:szCs w:val="20"/>
          <w:lang w:eastAsia="cs-CZ"/>
        </w:rPr>
      </w:pPr>
      <w:r w:rsidRPr="00E9728F">
        <w:rPr>
          <w:rFonts w:ascii="Arial" w:eastAsia="Times New Roman" w:hAnsi="Arial" w:cs="Arial"/>
          <w:b/>
          <w:sz w:val="20"/>
          <w:szCs w:val="20"/>
          <w:lang w:eastAsia="cs-CZ"/>
        </w:rPr>
        <w:t>Agregovaná úhrada za registrovaného pojištěnce</w:t>
      </w:r>
    </w:p>
    <w:p w14:paraId="5609747C" w14:textId="77777777" w:rsidR="00E9728F" w:rsidRPr="00E9728F" w:rsidRDefault="00E9728F" w:rsidP="00E9728F">
      <w:pPr>
        <w:widowControl w:val="0"/>
        <w:spacing w:after="120" w:line="240" w:lineRule="auto"/>
        <w:jc w:val="both"/>
        <w:rPr>
          <w:rFonts w:ascii="Arial" w:eastAsia="Calibri" w:hAnsi="Arial" w:cs="Arial"/>
          <w:sz w:val="18"/>
          <w:szCs w:val="18"/>
          <w:lang w:eastAsia="cs-CZ"/>
        </w:rPr>
      </w:pPr>
      <w:r w:rsidRPr="00E9728F">
        <w:rPr>
          <w:rFonts w:ascii="Arial" w:eastAsia="Calibri" w:hAnsi="Arial" w:cs="Arial"/>
          <w:sz w:val="18"/>
          <w:szCs w:val="18"/>
          <w:lang w:eastAsia="cs-CZ"/>
        </w:rPr>
        <w:t>Smluvní strany se dohodly na způsobu úhrady formou agregované úhrady za registrovaného pojištěnce za těchto podmínek:</w:t>
      </w:r>
    </w:p>
    <w:p w14:paraId="43C69AE7" w14:textId="397E20B7" w:rsidR="00F92106" w:rsidRPr="00A307BC" w:rsidRDefault="00F92106" w:rsidP="00F92106">
      <w:pPr>
        <w:pStyle w:val="Odstavecseseznamem"/>
        <w:numPr>
          <w:ilvl w:val="0"/>
          <w:numId w:val="15"/>
        </w:numPr>
        <w:spacing w:after="0" w:line="240" w:lineRule="auto"/>
        <w:ind w:left="285"/>
        <w:jc w:val="both"/>
        <w:rPr>
          <w:rFonts w:ascii="Arial" w:eastAsia="Calibri" w:hAnsi="Arial" w:cs="Arial"/>
          <w:sz w:val="18"/>
          <w:szCs w:val="18"/>
          <w:lang w:eastAsia="cs-CZ"/>
        </w:rPr>
      </w:pPr>
      <w:r w:rsidRPr="00A307BC">
        <w:rPr>
          <w:rFonts w:ascii="Arial" w:eastAsia="Calibri" w:hAnsi="Arial" w:cs="Arial"/>
          <w:sz w:val="18"/>
          <w:szCs w:val="18"/>
          <w:lang w:eastAsia="cs-CZ"/>
        </w:rPr>
        <w:t xml:space="preserve">Výše agregované úhrady za </w:t>
      </w:r>
      <w:r w:rsidR="00605FEB">
        <w:rPr>
          <w:rFonts w:ascii="Arial" w:eastAsia="Calibri" w:hAnsi="Arial" w:cs="Arial"/>
          <w:sz w:val="18"/>
          <w:szCs w:val="18"/>
          <w:lang w:eastAsia="cs-CZ"/>
        </w:rPr>
        <w:t xml:space="preserve">jednoho </w:t>
      </w:r>
      <w:r w:rsidRPr="00A307BC">
        <w:rPr>
          <w:rFonts w:ascii="Arial" w:eastAsia="Calibri" w:hAnsi="Arial" w:cs="Arial"/>
          <w:sz w:val="18"/>
          <w:szCs w:val="18"/>
          <w:lang w:eastAsia="cs-CZ"/>
        </w:rPr>
        <w:t xml:space="preserve">pojištěnce </w:t>
      </w:r>
      <w:r w:rsidR="00A307BC">
        <w:rPr>
          <w:rFonts w:ascii="Arial" w:eastAsia="Calibri" w:hAnsi="Arial" w:cs="Arial"/>
          <w:sz w:val="18"/>
          <w:szCs w:val="18"/>
          <w:lang w:eastAsia="cs-CZ"/>
        </w:rPr>
        <w:t>P</w:t>
      </w:r>
      <w:r w:rsidRPr="00A307BC">
        <w:rPr>
          <w:rFonts w:ascii="Arial" w:eastAsia="Calibri" w:hAnsi="Arial" w:cs="Arial"/>
          <w:sz w:val="18"/>
          <w:szCs w:val="18"/>
          <w:lang w:eastAsia="cs-CZ"/>
        </w:rPr>
        <w:t xml:space="preserve">ojišťovny </w:t>
      </w:r>
      <w:r w:rsidR="00996C8F">
        <w:rPr>
          <w:rFonts w:ascii="Arial" w:eastAsia="Calibri" w:hAnsi="Arial" w:cs="Arial"/>
          <w:sz w:val="18"/>
          <w:szCs w:val="18"/>
          <w:lang w:eastAsia="cs-CZ"/>
        </w:rPr>
        <w:t>registrovaného Poskytovatele</w:t>
      </w:r>
      <w:r w:rsidR="00605FEB">
        <w:rPr>
          <w:rFonts w:ascii="Arial" w:eastAsia="Calibri" w:hAnsi="Arial" w:cs="Arial"/>
          <w:sz w:val="18"/>
          <w:szCs w:val="18"/>
          <w:lang w:eastAsia="cs-CZ"/>
        </w:rPr>
        <w:t>m</w:t>
      </w:r>
      <w:r w:rsidR="00ED3DAC">
        <w:rPr>
          <w:rFonts w:ascii="Arial" w:eastAsia="Calibri" w:hAnsi="Arial" w:cs="Arial"/>
          <w:sz w:val="18"/>
          <w:szCs w:val="18"/>
          <w:lang w:eastAsia="cs-CZ"/>
        </w:rPr>
        <w:t xml:space="preserve"> </w:t>
      </w:r>
      <w:r w:rsidRPr="00A307BC">
        <w:rPr>
          <w:rFonts w:ascii="Arial" w:eastAsia="Calibri" w:hAnsi="Arial" w:cs="Arial"/>
          <w:sz w:val="18"/>
          <w:szCs w:val="18"/>
          <w:lang w:eastAsia="cs-CZ"/>
        </w:rPr>
        <w:t>na kalendářní měsíc činí:</w:t>
      </w:r>
    </w:p>
    <w:p w14:paraId="3531724D" w14:textId="0800008B" w:rsidR="00F92106" w:rsidRPr="00A307BC" w:rsidRDefault="00F92106" w:rsidP="00F92106">
      <w:pPr>
        <w:numPr>
          <w:ilvl w:val="0"/>
          <w:numId w:val="16"/>
        </w:numPr>
        <w:spacing w:after="0" w:line="240" w:lineRule="auto"/>
        <w:contextualSpacing/>
        <w:jc w:val="both"/>
        <w:rPr>
          <w:rFonts w:ascii="Arial" w:eastAsia="Calibri" w:hAnsi="Arial" w:cs="Arial"/>
          <w:sz w:val="18"/>
          <w:szCs w:val="18"/>
          <w:lang w:eastAsia="cs-CZ"/>
        </w:rPr>
      </w:pPr>
      <w:r w:rsidRPr="00A307BC">
        <w:rPr>
          <w:rFonts w:ascii="Arial" w:eastAsia="Calibri" w:hAnsi="Arial" w:cs="Arial"/>
          <w:sz w:val="18"/>
          <w:szCs w:val="18"/>
          <w:lang w:eastAsia="cs-CZ"/>
        </w:rPr>
        <w:t xml:space="preserve">18 Kč v případě, že </w:t>
      </w:r>
      <w:r w:rsidR="00A307BC">
        <w:rPr>
          <w:rFonts w:ascii="Arial" w:eastAsia="Calibri" w:hAnsi="Arial" w:cs="Arial"/>
          <w:sz w:val="18"/>
          <w:szCs w:val="18"/>
          <w:lang w:eastAsia="cs-CZ"/>
        </w:rPr>
        <w:t>P</w:t>
      </w:r>
      <w:r w:rsidRPr="00A307BC">
        <w:rPr>
          <w:rFonts w:ascii="Arial" w:eastAsia="Calibri" w:hAnsi="Arial" w:cs="Arial"/>
          <w:sz w:val="18"/>
          <w:szCs w:val="18"/>
          <w:lang w:eastAsia="cs-CZ"/>
        </w:rPr>
        <w:t xml:space="preserve">oskytovatel </w:t>
      </w:r>
      <w:r w:rsidR="00A307BC">
        <w:rPr>
          <w:rFonts w:ascii="Arial" w:eastAsia="Calibri" w:hAnsi="Arial" w:cs="Arial"/>
          <w:sz w:val="18"/>
          <w:szCs w:val="18"/>
          <w:lang w:eastAsia="cs-CZ"/>
        </w:rPr>
        <w:t>P</w:t>
      </w:r>
      <w:r w:rsidRPr="00C848AB">
        <w:rPr>
          <w:rFonts w:ascii="Arial" w:eastAsia="Calibri" w:hAnsi="Arial" w:cs="Arial"/>
          <w:sz w:val="18"/>
          <w:szCs w:val="18"/>
          <w:lang w:eastAsia="cs-CZ"/>
        </w:rPr>
        <w:t xml:space="preserve">ojišťovně doloží, že </w:t>
      </w:r>
      <w:r w:rsidR="006F0994">
        <w:rPr>
          <w:rFonts w:ascii="Arial" w:eastAsia="Calibri" w:hAnsi="Arial" w:cs="Arial"/>
          <w:sz w:val="18"/>
          <w:szCs w:val="18"/>
          <w:lang w:eastAsia="cs-CZ"/>
        </w:rPr>
        <w:t xml:space="preserve">příslušný </w:t>
      </w:r>
      <w:r w:rsidR="00EF2485">
        <w:rPr>
          <w:rFonts w:ascii="Arial" w:eastAsia="Calibri" w:hAnsi="Arial" w:cs="Arial"/>
          <w:sz w:val="18"/>
          <w:szCs w:val="18"/>
          <w:lang w:eastAsia="cs-CZ"/>
        </w:rPr>
        <w:t xml:space="preserve">zubní </w:t>
      </w:r>
      <w:r w:rsidRPr="00C848AB">
        <w:rPr>
          <w:rFonts w:ascii="Arial" w:eastAsia="Calibri" w:hAnsi="Arial" w:cs="Arial"/>
          <w:sz w:val="18"/>
          <w:szCs w:val="18"/>
          <w:lang w:eastAsia="cs-CZ"/>
        </w:rPr>
        <w:t>lékař</w:t>
      </w:r>
      <w:r w:rsidR="00605FEB">
        <w:rPr>
          <w:rFonts w:ascii="Arial" w:eastAsia="Calibri" w:hAnsi="Arial" w:cs="Arial"/>
          <w:sz w:val="18"/>
          <w:szCs w:val="18"/>
          <w:lang w:eastAsia="cs-CZ"/>
        </w:rPr>
        <w:t>, k němuž je pojištěnec registrován (dále jen „registrující zubní lékař“)</w:t>
      </w:r>
      <w:r w:rsidR="00EF2485">
        <w:rPr>
          <w:rFonts w:ascii="Arial" w:eastAsia="Calibri" w:hAnsi="Arial" w:cs="Arial"/>
          <w:sz w:val="18"/>
          <w:szCs w:val="18"/>
          <w:lang w:eastAsia="cs-CZ"/>
        </w:rPr>
        <w:t>,</w:t>
      </w:r>
      <w:r w:rsidRPr="00C848AB">
        <w:rPr>
          <w:rFonts w:ascii="Arial" w:eastAsia="Calibri" w:hAnsi="Arial" w:cs="Arial"/>
          <w:sz w:val="18"/>
          <w:szCs w:val="18"/>
          <w:lang w:eastAsia="cs-CZ"/>
        </w:rPr>
        <w:t xml:space="preserve"> je </w:t>
      </w:r>
      <w:r w:rsidR="00390D48">
        <w:rPr>
          <w:rFonts w:ascii="Arial" w:eastAsia="Calibri" w:hAnsi="Arial" w:cs="Arial"/>
          <w:sz w:val="18"/>
          <w:szCs w:val="18"/>
          <w:lang w:eastAsia="cs-CZ"/>
        </w:rPr>
        <w:t xml:space="preserve">po celý příslušný kalendářní měsíc </w:t>
      </w:r>
      <w:r w:rsidR="00A307BC" w:rsidRPr="00E9728F">
        <w:rPr>
          <w:rFonts w:ascii="Arial" w:eastAsia="Calibri" w:hAnsi="Arial" w:cs="Arial"/>
          <w:sz w:val="18"/>
          <w:szCs w:val="18"/>
          <w:lang w:eastAsia="cs-CZ"/>
        </w:rPr>
        <w:t xml:space="preserve">držitelem platného dokladu celoživotního vzdělávání zubních lékařů, </w:t>
      </w:r>
      <w:r w:rsidR="00F960F3">
        <w:rPr>
          <w:rFonts w:ascii="Arial" w:eastAsia="Calibri" w:hAnsi="Arial" w:cs="Arial"/>
          <w:sz w:val="18"/>
          <w:szCs w:val="18"/>
          <w:lang w:eastAsia="cs-CZ"/>
        </w:rPr>
        <w:t>jímž se rozumí osvědčení o soustavné účasti v systému celoživotního vzdělávání v praktickém zubním lékařství (</w:t>
      </w:r>
      <w:r w:rsidR="00A307BC" w:rsidRPr="00E9728F">
        <w:rPr>
          <w:rFonts w:ascii="Arial" w:eastAsia="Calibri" w:hAnsi="Arial" w:cs="Arial"/>
          <w:sz w:val="18"/>
          <w:szCs w:val="18"/>
          <w:lang w:eastAsia="cs-CZ"/>
        </w:rPr>
        <w:t>tzv. Osvědčení PZL</w:t>
      </w:r>
      <w:r w:rsidR="00F960F3">
        <w:rPr>
          <w:rFonts w:ascii="Arial" w:eastAsia="Calibri" w:hAnsi="Arial" w:cs="Arial"/>
          <w:sz w:val="18"/>
          <w:szCs w:val="18"/>
          <w:lang w:eastAsia="cs-CZ"/>
        </w:rPr>
        <w:t>)</w:t>
      </w:r>
      <w:r w:rsidR="00A307BC" w:rsidRPr="00E9728F">
        <w:rPr>
          <w:rFonts w:ascii="Arial" w:eastAsia="Calibri" w:hAnsi="Arial" w:cs="Arial"/>
          <w:sz w:val="18"/>
          <w:szCs w:val="18"/>
          <w:lang w:eastAsia="cs-CZ"/>
        </w:rPr>
        <w:t xml:space="preserve"> vydávané Č</w:t>
      </w:r>
      <w:r w:rsidR="00F960F3">
        <w:rPr>
          <w:rFonts w:ascii="Arial" w:eastAsia="Calibri" w:hAnsi="Arial" w:cs="Arial"/>
          <w:sz w:val="18"/>
          <w:szCs w:val="18"/>
          <w:lang w:eastAsia="cs-CZ"/>
        </w:rPr>
        <w:t xml:space="preserve">eskou stomatologickou komorou </w:t>
      </w:r>
      <w:r w:rsidR="00A307BC" w:rsidRPr="00E9728F">
        <w:rPr>
          <w:rFonts w:ascii="Arial" w:eastAsia="Calibri" w:hAnsi="Arial" w:cs="Arial"/>
          <w:sz w:val="18"/>
          <w:szCs w:val="18"/>
          <w:lang w:eastAsia="cs-CZ"/>
        </w:rPr>
        <w:t xml:space="preserve">(dále </w:t>
      </w:r>
      <w:r w:rsidR="00F960F3">
        <w:rPr>
          <w:rFonts w:ascii="Arial" w:eastAsia="Calibri" w:hAnsi="Arial" w:cs="Arial"/>
          <w:sz w:val="18"/>
          <w:szCs w:val="18"/>
          <w:lang w:eastAsia="cs-CZ"/>
        </w:rPr>
        <w:t>jen „</w:t>
      </w:r>
      <w:r w:rsidR="00A307BC" w:rsidRPr="00E9728F">
        <w:rPr>
          <w:rFonts w:ascii="Arial" w:eastAsia="Calibri" w:hAnsi="Arial" w:cs="Arial"/>
          <w:sz w:val="18"/>
          <w:szCs w:val="18"/>
          <w:lang w:eastAsia="cs-CZ"/>
        </w:rPr>
        <w:t>Osvědčení</w:t>
      </w:r>
      <w:r w:rsidR="00F960F3">
        <w:rPr>
          <w:rFonts w:ascii="Arial" w:eastAsia="Calibri" w:hAnsi="Arial" w:cs="Arial"/>
          <w:sz w:val="18"/>
          <w:szCs w:val="18"/>
          <w:lang w:eastAsia="cs-CZ"/>
        </w:rPr>
        <w:t>“</w:t>
      </w:r>
      <w:r w:rsidR="00A307BC">
        <w:rPr>
          <w:rFonts w:ascii="Arial" w:eastAsia="Calibri" w:hAnsi="Arial" w:cs="Arial"/>
          <w:sz w:val="18"/>
          <w:szCs w:val="18"/>
          <w:lang w:eastAsia="cs-CZ"/>
        </w:rPr>
        <w:t>)</w:t>
      </w:r>
      <w:r w:rsidRPr="00A307BC">
        <w:rPr>
          <w:rFonts w:ascii="Arial" w:eastAsia="Calibri" w:hAnsi="Arial" w:cs="Arial"/>
          <w:sz w:val="18"/>
          <w:szCs w:val="18"/>
          <w:lang w:eastAsia="cs-CZ"/>
        </w:rPr>
        <w:t xml:space="preserve"> </w:t>
      </w:r>
    </w:p>
    <w:p w14:paraId="44FABA68" w14:textId="77777777" w:rsidR="00F92106" w:rsidRPr="00A307BC" w:rsidRDefault="00F92106" w:rsidP="00F92106">
      <w:pPr>
        <w:numPr>
          <w:ilvl w:val="0"/>
          <w:numId w:val="16"/>
        </w:numPr>
        <w:spacing w:after="0" w:line="240" w:lineRule="auto"/>
        <w:contextualSpacing/>
        <w:jc w:val="both"/>
        <w:rPr>
          <w:rFonts w:ascii="Arial" w:eastAsia="Calibri" w:hAnsi="Arial" w:cs="Arial"/>
          <w:sz w:val="18"/>
          <w:szCs w:val="18"/>
          <w:lang w:eastAsia="cs-CZ"/>
        </w:rPr>
      </w:pPr>
      <w:r w:rsidRPr="00A307BC">
        <w:rPr>
          <w:rFonts w:ascii="Arial" w:eastAsia="Calibri" w:hAnsi="Arial" w:cs="Arial"/>
          <w:sz w:val="18"/>
          <w:szCs w:val="18"/>
          <w:lang w:eastAsia="cs-CZ"/>
        </w:rPr>
        <w:t>16 Kč v ostatních případech.</w:t>
      </w:r>
    </w:p>
    <w:p w14:paraId="61CDF7BA" w14:textId="48717D02" w:rsidR="00E9728F" w:rsidRPr="00E9728F" w:rsidRDefault="00A307BC" w:rsidP="00F960F3">
      <w:pPr>
        <w:widowControl w:val="0"/>
        <w:numPr>
          <w:ilvl w:val="0"/>
          <w:numId w:val="15"/>
        </w:numPr>
        <w:overflowPunct w:val="0"/>
        <w:autoSpaceDE w:val="0"/>
        <w:autoSpaceDN w:val="0"/>
        <w:adjustRightInd w:val="0"/>
        <w:spacing w:before="240" w:after="120" w:line="240" w:lineRule="auto"/>
        <w:jc w:val="both"/>
        <w:textAlignment w:val="baseline"/>
        <w:rPr>
          <w:rFonts w:ascii="Arial" w:eastAsia="Calibri" w:hAnsi="Arial" w:cs="Arial"/>
          <w:sz w:val="18"/>
          <w:szCs w:val="18"/>
          <w:lang w:eastAsia="cs-CZ"/>
        </w:rPr>
      </w:pPr>
      <w:r w:rsidRPr="00E9728F">
        <w:rPr>
          <w:rFonts w:ascii="Arial" w:eastAsia="Calibri" w:hAnsi="Arial" w:cs="Arial"/>
          <w:sz w:val="18"/>
          <w:szCs w:val="18"/>
          <w:lang w:eastAsia="cs-CZ"/>
        </w:rPr>
        <w:t>Celková výše měsíční úhrady za agregovanou úhradu se vypočte jako součin počtu pojištěnců Pojišťovny registrovaných u Poskytovatele k poslednímu dni příslušného kalendářního měsíce</w:t>
      </w:r>
      <w:r w:rsidR="00997CD7">
        <w:rPr>
          <w:rFonts w:ascii="Arial" w:eastAsia="Calibri" w:hAnsi="Arial" w:cs="Arial"/>
          <w:sz w:val="18"/>
          <w:szCs w:val="18"/>
          <w:lang w:eastAsia="cs-CZ"/>
        </w:rPr>
        <w:t xml:space="preserve"> </w:t>
      </w:r>
      <w:r w:rsidRPr="00E9728F">
        <w:rPr>
          <w:rFonts w:ascii="Arial" w:eastAsia="Calibri" w:hAnsi="Arial" w:cs="Arial"/>
          <w:sz w:val="18"/>
          <w:szCs w:val="18"/>
          <w:lang w:eastAsia="cs-CZ"/>
        </w:rPr>
        <w:t xml:space="preserve">a agregované úhrady na jednoho registrovaného pojištěnce Pojišťovny ve výši dle </w:t>
      </w:r>
      <w:r>
        <w:rPr>
          <w:rFonts w:ascii="Arial" w:eastAsia="Calibri" w:hAnsi="Arial" w:cs="Arial"/>
          <w:sz w:val="18"/>
          <w:szCs w:val="18"/>
          <w:lang w:eastAsia="cs-CZ"/>
        </w:rPr>
        <w:t>odst. 1 tohoto článku</w:t>
      </w:r>
      <w:r w:rsidRPr="00E9728F">
        <w:rPr>
          <w:rFonts w:ascii="Arial" w:eastAsia="Calibri" w:hAnsi="Arial" w:cs="Arial"/>
          <w:sz w:val="18"/>
          <w:szCs w:val="18"/>
          <w:lang w:eastAsia="cs-CZ"/>
        </w:rPr>
        <w:t xml:space="preserve"> pro příslušný kalendářní měsíc</w:t>
      </w:r>
      <w:r w:rsidR="00E9728F" w:rsidRPr="00E9728F">
        <w:rPr>
          <w:rFonts w:ascii="Arial" w:eastAsia="Calibri" w:hAnsi="Arial" w:cs="Arial"/>
          <w:sz w:val="18"/>
          <w:szCs w:val="18"/>
          <w:lang w:eastAsia="cs-CZ"/>
        </w:rPr>
        <w:t>.</w:t>
      </w:r>
    </w:p>
    <w:p w14:paraId="35A59381" w14:textId="36B9D9E2" w:rsidR="003B7E41" w:rsidRDefault="00E9728F" w:rsidP="00F960F3">
      <w:pPr>
        <w:widowControl w:val="0"/>
        <w:numPr>
          <w:ilvl w:val="0"/>
          <w:numId w:val="15"/>
        </w:numPr>
        <w:overflowPunct w:val="0"/>
        <w:autoSpaceDE w:val="0"/>
        <w:autoSpaceDN w:val="0"/>
        <w:adjustRightInd w:val="0"/>
        <w:spacing w:before="240" w:after="120" w:line="240" w:lineRule="auto"/>
        <w:jc w:val="both"/>
        <w:textAlignment w:val="baseline"/>
        <w:rPr>
          <w:rFonts w:ascii="Arial" w:eastAsia="Calibri" w:hAnsi="Arial" w:cs="Arial"/>
          <w:sz w:val="18"/>
          <w:szCs w:val="18"/>
          <w:lang w:eastAsia="cs-CZ"/>
        </w:rPr>
      </w:pPr>
      <w:r w:rsidRPr="00E9728F">
        <w:rPr>
          <w:rFonts w:ascii="Arial" w:eastAsia="Calibri" w:hAnsi="Arial" w:cs="Arial"/>
          <w:sz w:val="18"/>
          <w:szCs w:val="18"/>
          <w:lang w:eastAsia="cs-CZ"/>
        </w:rPr>
        <w:t xml:space="preserve">Poskytovatel dokládá Pojišťovně, že </w:t>
      </w:r>
      <w:r w:rsidR="006F0994">
        <w:rPr>
          <w:rFonts w:ascii="Arial" w:eastAsia="Calibri" w:hAnsi="Arial" w:cs="Arial"/>
          <w:sz w:val="18"/>
          <w:szCs w:val="18"/>
          <w:lang w:eastAsia="cs-CZ"/>
        </w:rPr>
        <w:t xml:space="preserve">příslušný registrující </w:t>
      </w:r>
      <w:r w:rsidR="00B666AF">
        <w:rPr>
          <w:rFonts w:ascii="Arial" w:eastAsia="Calibri" w:hAnsi="Arial" w:cs="Arial"/>
          <w:sz w:val="18"/>
          <w:szCs w:val="18"/>
          <w:lang w:eastAsia="cs-CZ"/>
        </w:rPr>
        <w:t xml:space="preserve">zubní </w:t>
      </w:r>
      <w:r w:rsidRPr="00E9728F">
        <w:rPr>
          <w:rFonts w:ascii="Arial" w:eastAsia="Calibri" w:hAnsi="Arial" w:cs="Arial"/>
          <w:sz w:val="18"/>
          <w:szCs w:val="18"/>
          <w:lang w:eastAsia="cs-CZ"/>
        </w:rPr>
        <w:t>lékař je držitelem platného Osvědčení. Podmínka platnosti Osvědčení po cel</w:t>
      </w:r>
      <w:r w:rsidR="00390D48">
        <w:rPr>
          <w:rFonts w:ascii="Arial" w:eastAsia="Calibri" w:hAnsi="Arial" w:cs="Arial"/>
          <w:sz w:val="18"/>
          <w:szCs w:val="18"/>
          <w:lang w:eastAsia="cs-CZ"/>
        </w:rPr>
        <w:t>ý</w:t>
      </w:r>
      <w:r w:rsidRPr="00E9728F">
        <w:rPr>
          <w:rFonts w:ascii="Arial" w:eastAsia="Calibri" w:hAnsi="Arial" w:cs="Arial"/>
          <w:sz w:val="18"/>
          <w:szCs w:val="18"/>
          <w:lang w:eastAsia="cs-CZ"/>
        </w:rPr>
        <w:t xml:space="preserve"> </w:t>
      </w:r>
      <w:r w:rsidR="00C113D1">
        <w:rPr>
          <w:rFonts w:ascii="Arial" w:eastAsia="Calibri" w:hAnsi="Arial" w:cs="Arial"/>
          <w:sz w:val="18"/>
          <w:szCs w:val="18"/>
          <w:lang w:eastAsia="cs-CZ"/>
        </w:rPr>
        <w:t xml:space="preserve">příslušný </w:t>
      </w:r>
      <w:r w:rsidR="00390D48">
        <w:rPr>
          <w:rFonts w:ascii="Arial" w:eastAsia="Calibri" w:hAnsi="Arial" w:cs="Arial"/>
          <w:sz w:val="18"/>
          <w:szCs w:val="18"/>
          <w:lang w:eastAsia="cs-CZ"/>
        </w:rPr>
        <w:t>kalendářní měsíc</w:t>
      </w:r>
      <w:r w:rsidR="003B7E41">
        <w:rPr>
          <w:rFonts w:ascii="Arial" w:eastAsia="Calibri" w:hAnsi="Arial" w:cs="Arial"/>
          <w:sz w:val="18"/>
          <w:szCs w:val="18"/>
          <w:lang w:eastAsia="cs-CZ"/>
        </w:rPr>
        <w:t xml:space="preserve"> </w:t>
      </w:r>
      <w:r w:rsidR="00C113D1">
        <w:rPr>
          <w:rFonts w:ascii="Arial" w:eastAsia="Calibri" w:hAnsi="Arial" w:cs="Arial"/>
          <w:sz w:val="18"/>
          <w:szCs w:val="18"/>
          <w:lang w:eastAsia="cs-CZ"/>
        </w:rPr>
        <w:t xml:space="preserve">dle odst. 1 písm. a) </w:t>
      </w:r>
      <w:r w:rsidR="003B7E41">
        <w:rPr>
          <w:rFonts w:ascii="Arial" w:eastAsia="Calibri" w:hAnsi="Arial" w:cs="Arial"/>
          <w:sz w:val="18"/>
          <w:szCs w:val="18"/>
          <w:lang w:eastAsia="cs-CZ"/>
        </w:rPr>
        <w:t xml:space="preserve">se </w:t>
      </w:r>
      <w:r w:rsidR="00C113D1">
        <w:rPr>
          <w:rFonts w:ascii="Arial" w:eastAsia="Calibri" w:hAnsi="Arial" w:cs="Arial"/>
          <w:sz w:val="18"/>
          <w:szCs w:val="18"/>
          <w:lang w:eastAsia="cs-CZ"/>
        </w:rPr>
        <w:t xml:space="preserve">považuje za splněnou i: </w:t>
      </w:r>
    </w:p>
    <w:p w14:paraId="2C189C26" w14:textId="13F161BB" w:rsidR="003B7E41" w:rsidRDefault="003B7E41" w:rsidP="003B7E41">
      <w:pPr>
        <w:numPr>
          <w:ilvl w:val="0"/>
          <w:numId w:val="17"/>
        </w:numPr>
        <w:spacing w:after="0" w:line="240" w:lineRule="auto"/>
        <w:contextualSpacing/>
        <w:jc w:val="both"/>
        <w:rPr>
          <w:rFonts w:ascii="Arial" w:eastAsia="Calibri" w:hAnsi="Arial" w:cs="Arial"/>
          <w:sz w:val="18"/>
          <w:szCs w:val="18"/>
          <w:lang w:eastAsia="cs-CZ"/>
        </w:rPr>
      </w:pPr>
      <w:r>
        <w:rPr>
          <w:rFonts w:ascii="Arial" w:eastAsia="Calibri" w:hAnsi="Arial" w:cs="Arial"/>
          <w:sz w:val="18"/>
          <w:szCs w:val="18"/>
          <w:lang w:eastAsia="cs-CZ"/>
        </w:rPr>
        <w:lastRenderedPageBreak/>
        <w:t>v kalendářním měsíci, ve kterém zanikla platnost Osvědčení</w:t>
      </w:r>
      <w:r w:rsidR="007E264B">
        <w:rPr>
          <w:rFonts w:ascii="Arial" w:eastAsia="Calibri" w:hAnsi="Arial" w:cs="Arial"/>
          <w:sz w:val="18"/>
          <w:szCs w:val="18"/>
          <w:lang w:eastAsia="cs-CZ"/>
        </w:rPr>
        <w:t xml:space="preserve"> příslušného registrujícího zubního lékaře</w:t>
      </w:r>
      <w:r>
        <w:rPr>
          <w:rFonts w:ascii="Arial" w:eastAsia="Calibri" w:hAnsi="Arial" w:cs="Arial"/>
          <w:sz w:val="18"/>
          <w:szCs w:val="18"/>
          <w:lang w:eastAsia="cs-CZ"/>
        </w:rPr>
        <w:t>,</w:t>
      </w:r>
    </w:p>
    <w:p w14:paraId="472B20F1" w14:textId="2E3EF2DA" w:rsidR="00E9728F" w:rsidRPr="00E9728F" w:rsidRDefault="003B7E41" w:rsidP="003B7E41">
      <w:pPr>
        <w:numPr>
          <w:ilvl w:val="0"/>
          <w:numId w:val="17"/>
        </w:numPr>
        <w:spacing w:after="0" w:line="240" w:lineRule="auto"/>
        <w:contextualSpacing/>
        <w:jc w:val="both"/>
        <w:rPr>
          <w:rFonts w:ascii="Arial" w:eastAsia="Calibri" w:hAnsi="Arial" w:cs="Arial"/>
          <w:sz w:val="18"/>
          <w:szCs w:val="18"/>
          <w:lang w:eastAsia="cs-CZ"/>
        </w:rPr>
      </w:pPr>
      <w:r>
        <w:rPr>
          <w:rFonts w:ascii="Arial" w:eastAsia="Calibri" w:hAnsi="Arial" w:cs="Arial"/>
          <w:sz w:val="18"/>
          <w:szCs w:val="18"/>
          <w:lang w:eastAsia="cs-CZ"/>
        </w:rPr>
        <w:t xml:space="preserve">v kalendářním měsíci bezprostředně následujícím po kalendářním měsíci, ve kterém zanikla platnost Osvědčení, </w:t>
      </w:r>
      <w:r w:rsidR="00E9728F" w:rsidRPr="00E9728F">
        <w:rPr>
          <w:rFonts w:ascii="Arial" w:eastAsia="Calibri" w:hAnsi="Arial" w:cs="Arial"/>
          <w:sz w:val="18"/>
          <w:szCs w:val="18"/>
          <w:lang w:eastAsia="cs-CZ"/>
        </w:rPr>
        <w:t xml:space="preserve">v případě, že poskytovatel doloží </w:t>
      </w:r>
      <w:r>
        <w:rPr>
          <w:rFonts w:ascii="Arial" w:eastAsia="Calibri" w:hAnsi="Arial" w:cs="Arial"/>
          <w:sz w:val="18"/>
          <w:szCs w:val="18"/>
          <w:lang w:eastAsia="cs-CZ"/>
        </w:rPr>
        <w:t xml:space="preserve">ve lhůtě uvedené v odst. 4 tohoto článku </w:t>
      </w:r>
      <w:r w:rsidR="00E9728F" w:rsidRPr="00E9728F">
        <w:rPr>
          <w:rFonts w:ascii="Arial" w:eastAsia="Calibri" w:hAnsi="Arial" w:cs="Arial"/>
          <w:sz w:val="18"/>
          <w:szCs w:val="18"/>
          <w:lang w:eastAsia="cs-CZ"/>
        </w:rPr>
        <w:t xml:space="preserve">Pojišťovně nové Osvědčení, přičemž období mezi datem </w:t>
      </w:r>
      <w:r>
        <w:rPr>
          <w:rFonts w:ascii="Arial" w:eastAsia="Calibri" w:hAnsi="Arial" w:cs="Arial"/>
          <w:sz w:val="18"/>
          <w:szCs w:val="18"/>
          <w:lang w:eastAsia="cs-CZ"/>
        </w:rPr>
        <w:t xml:space="preserve">zániku </w:t>
      </w:r>
      <w:r w:rsidR="00E9728F" w:rsidRPr="00E9728F">
        <w:rPr>
          <w:rFonts w:ascii="Arial" w:eastAsia="Calibri" w:hAnsi="Arial" w:cs="Arial"/>
          <w:sz w:val="18"/>
          <w:szCs w:val="18"/>
          <w:lang w:eastAsia="cs-CZ"/>
        </w:rPr>
        <w:t xml:space="preserve">platnosti původního Osvědčení a datem nabytí platnosti nového Osvědčení nečiní více než 30 kalendářních dnů. </w:t>
      </w:r>
    </w:p>
    <w:p w14:paraId="5C9B8DCC" w14:textId="26D15979" w:rsidR="00E9728F" w:rsidRPr="00E9728F" w:rsidRDefault="00E9728F" w:rsidP="00F960F3">
      <w:pPr>
        <w:widowControl w:val="0"/>
        <w:numPr>
          <w:ilvl w:val="0"/>
          <w:numId w:val="15"/>
        </w:numPr>
        <w:overflowPunct w:val="0"/>
        <w:autoSpaceDE w:val="0"/>
        <w:autoSpaceDN w:val="0"/>
        <w:adjustRightInd w:val="0"/>
        <w:spacing w:before="240" w:after="120" w:line="240" w:lineRule="auto"/>
        <w:jc w:val="both"/>
        <w:textAlignment w:val="baseline"/>
        <w:rPr>
          <w:rFonts w:ascii="Arial" w:eastAsia="Calibri" w:hAnsi="Arial" w:cs="Arial"/>
          <w:sz w:val="18"/>
          <w:szCs w:val="18"/>
          <w:lang w:eastAsia="cs-CZ"/>
        </w:rPr>
      </w:pPr>
      <w:r w:rsidRPr="00E9728F">
        <w:rPr>
          <w:rFonts w:ascii="Arial" w:eastAsia="Calibri" w:hAnsi="Arial" w:cs="Arial"/>
          <w:sz w:val="18"/>
          <w:szCs w:val="18"/>
          <w:lang w:eastAsia="cs-CZ"/>
        </w:rPr>
        <w:t xml:space="preserve">V případě </w:t>
      </w:r>
      <w:r w:rsidR="00F76CEA">
        <w:rPr>
          <w:rFonts w:ascii="Arial" w:eastAsia="Calibri" w:hAnsi="Arial" w:cs="Arial"/>
          <w:sz w:val="18"/>
          <w:szCs w:val="18"/>
          <w:lang w:eastAsia="cs-CZ"/>
        </w:rPr>
        <w:t xml:space="preserve">zániku </w:t>
      </w:r>
      <w:r w:rsidRPr="00E9728F">
        <w:rPr>
          <w:rFonts w:ascii="Arial" w:eastAsia="Calibri" w:hAnsi="Arial" w:cs="Arial"/>
          <w:sz w:val="18"/>
          <w:szCs w:val="18"/>
          <w:lang w:eastAsia="cs-CZ"/>
        </w:rPr>
        <w:t xml:space="preserve">platnosti původního Osvědčení je potřeba, aby Poskytovatel doložil Pojišťovně nové Osvědčení nejdéle do 5. dne kalendářního měsíce, který je druhým následujícím kalendářním měsícem po kalendářním měsíci, ve kterém platnost původního Osvědčení </w:t>
      </w:r>
      <w:r w:rsidR="009D3173">
        <w:rPr>
          <w:rFonts w:ascii="Arial" w:eastAsia="Calibri" w:hAnsi="Arial" w:cs="Arial"/>
          <w:sz w:val="18"/>
          <w:szCs w:val="18"/>
          <w:lang w:eastAsia="cs-CZ"/>
        </w:rPr>
        <w:t>zanikla</w:t>
      </w:r>
      <w:r w:rsidRPr="00E9728F">
        <w:rPr>
          <w:rFonts w:ascii="Arial" w:eastAsia="Calibri" w:hAnsi="Arial" w:cs="Arial"/>
          <w:sz w:val="18"/>
          <w:szCs w:val="18"/>
          <w:lang w:eastAsia="cs-CZ"/>
        </w:rPr>
        <w:t>. Pokud poskytovatel v</w:t>
      </w:r>
      <w:r w:rsidR="00FC5FB9">
        <w:rPr>
          <w:rFonts w:ascii="Arial" w:eastAsia="Calibri" w:hAnsi="Arial" w:cs="Arial"/>
          <w:sz w:val="18"/>
          <w:szCs w:val="18"/>
          <w:lang w:eastAsia="cs-CZ"/>
        </w:rPr>
        <w:t> této lhůtě</w:t>
      </w:r>
      <w:r w:rsidRPr="00E9728F">
        <w:rPr>
          <w:rFonts w:ascii="Arial" w:eastAsia="Calibri" w:hAnsi="Arial" w:cs="Arial"/>
          <w:sz w:val="18"/>
          <w:szCs w:val="18"/>
          <w:lang w:eastAsia="cs-CZ"/>
        </w:rPr>
        <w:t xml:space="preserve">  </w:t>
      </w:r>
      <w:r w:rsidR="00FC5FB9">
        <w:rPr>
          <w:rFonts w:ascii="Arial" w:eastAsia="Calibri" w:hAnsi="Arial" w:cs="Arial"/>
          <w:sz w:val="18"/>
          <w:szCs w:val="18"/>
          <w:lang w:eastAsia="cs-CZ"/>
        </w:rPr>
        <w:t>nové O</w:t>
      </w:r>
      <w:r w:rsidRPr="00E9728F">
        <w:rPr>
          <w:rFonts w:ascii="Arial" w:eastAsia="Calibri" w:hAnsi="Arial" w:cs="Arial"/>
          <w:sz w:val="18"/>
          <w:szCs w:val="18"/>
          <w:lang w:eastAsia="cs-CZ"/>
        </w:rPr>
        <w:t xml:space="preserve">svědčení nedoloží, </w:t>
      </w:r>
      <w:r w:rsidR="00FC5FB9">
        <w:rPr>
          <w:rFonts w:ascii="Arial" w:eastAsia="Calibri" w:hAnsi="Arial" w:cs="Arial"/>
          <w:sz w:val="18"/>
          <w:szCs w:val="18"/>
          <w:lang w:eastAsia="cs-CZ"/>
        </w:rPr>
        <w:t>považuje se od 1. dne kalendářního měsíce bezprostředně následujícího po kalendářním měsíci, ve které</w:t>
      </w:r>
      <w:r w:rsidR="009D3173">
        <w:rPr>
          <w:rFonts w:ascii="Arial" w:eastAsia="Calibri" w:hAnsi="Arial" w:cs="Arial"/>
          <w:sz w:val="18"/>
          <w:szCs w:val="18"/>
          <w:lang w:eastAsia="cs-CZ"/>
        </w:rPr>
        <w:t>m</w:t>
      </w:r>
      <w:r w:rsidR="00FC5FB9">
        <w:rPr>
          <w:rFonts w:ascii="Arial" w:eastAsia="Calibri" w:hAnsi="Arial" w:cs="Arial"/>
          <w:sz w:val="18"/>
          <w:szCs w:val="18"/>
          <w:lang w:eastAsia="cs-CZ"/>
        </w:rPr>
        <w:t xml:space="preserve"> </w:t>
      </w:r>
      <w:r w:rsidR="009D3173">
        <w:rPr>
          <w:rFonts w:ascii="Arial" w:eastAsia="Calibri" w:hAnsi="Arial" w:cs="Arial"/>
          <w:sz w:val="18"/>
          <w:szCs w:val="18"/>
          <w:lang w:eastAsia="cs-CZ"/>
        </w:rPr>
        <w:t xml:space="preserve">zanikla </w:t>
      </w:r>
      <w:r w:rsidR="00FC5FB9">
        <w:rPr>
          <w:rFonts w:ascii="Arial" w:eastAsia="Calibri" w:hAnsi="Arial" w:cs="Arial"/>
          <w:sz w:val="18"/>
          <w:szCs w:val="18"/>
          <w:lang w:eastAsia="cs-CZ"/>
        </w:rPr>
        <w:t xml:space="preserve">platnost původního Osvědčení, </w:t>
      </w:r>
      <w:r w:rsidR="00996C8F">
        <w:rPr>
          <w:rFonts w:ascii="Arial" w:eastAsia="Calibri" w:hAnsi="Arial" w:cs="Arial"/>
          <w:sz w:val="18"/>
          <w:szCs w:val="18"/>
          <w:lang w:eastAsia="cs-CZ"/>
        </w:rPr>
        <w:t xml:space="preserve">ve vztahu k pojištěncům registrovaným </w:t>
      </w:r>
      <w:r w:rsidR="00DE68A8">
        <w:rPr>
          <w:rFonts w:ascii="Arial" w:eastAsia="Calibri" w:hAnsi="Arial" w:cs="Arial"/>
          <w:sz w:val="18"/>
          <w:szCs w:val="18"/>
          <w:lang w:eastAsia="cs-CZ"/>
        </w:rPr>
        <w:t xml:space="preserve">k </w:t>
      </w:r>
      <w:r w:rsidR="00996C8F">
        <w:rPr>
          <w:rFonts w:ascii="Arial" w:eastAsia="Calibri" w:hAnsi="Arial" w:cs="Arial"/>
          <w:sz w:val="18"/>
          <w:szCs w:val="18"/>
          <w:lang w:eastAsia="cs-CZ"/>
        </w:rPr>
        <w:t xml:space="preserve">zubnímu lékaři, který byl držitelem původního </w:t>
      </w:r>
      <w:r w:rsidR="00DE68A8">
        <w:rPr>
          <w:rFonts w:ascii="Arial" w:eastAsia="Calibri" w:hAnsi="Arial" w:cs="Arial"/>
          <w:sz w:val="18"/>
          <w:szCs w:val="18"/>
          <w:lang w:eastAsia="cs-CZ"/>
        </w:rPr>
        <w:t>O</w:t>
      </w:r>
      <w:r w:rsidR="00996C8F">
        <w:rPr>
          <w:rFonts w:ascii="Arial" w:eastAsia="Calibri" w:hAnsi="Arial" w:cs="Arial"/>
          <w:sz w:val="18"/>
          <w:szCs w:val="18"/>
          <w:lang w:eastAsia="cs-CZ"/>
        </w:rPr>
        <w:t xml:space="preserve">svědčení, </w:t>
      </w:r>
      <w:r w:rsidR="00FC5FB9">
        <w:rPr>
          <w:rFonts w:ascii="Arial" w:eastAsia="Calibri" w:hAnsi="Arial" w:cs="Arial"/>
          <w:sz w:val="18"/>
          <w:szCs w:val="18"/>
          <w:lang w:eastAsia="cs-CZ"/>
        </w:rPr>
        <w:t xml:space="preserve">za poskytovatele, který </w:t>
      </w:r>
      <w:r w:rsidR="00EF2485">
        <w:rPr>
          <w:rFonts w:ascii="Arial" w:eastAsia="Calibri" w:hAnsi="Arial" w:cs="Arial"/>
          <w:sz w:val="18"/>
          <w:szCs w:val="18"/>
          <w:lang w:eastAsia="cs-CZ"/>
        </w:rPr>
        <w:t>nesplnil podmínky uvedené v odst. 1 písm. a) tohoto článku</w:t>
      </w:r>
      <w:r w:rsidR="00996C8F">
        <w:rPr>
          <w:rFonts w:ascii="Arial" w:eastAsia="Calibri" w:hAnsi="Arial" w:cs="Arial"/>
          <w:sz w:val="18"/>
          <w:szCs w:val="18"/>
          <w:lang w:eastAsia="cs-CZ"/>
        </w:rPr>
        <w:t>,</w:t>
      </w:r>
      <w:r w:rsidR="00DE68A8">
        <w:rPr>
          <w:rFonts w:ascii="Arial" w:eastAsia="Calibri" w:hAnsi="Arial" w:cs="Arial"/>
          <w:sz w:val="18"/>
          <w:szCs w:val="18"/>
          <w:lang w:eastAsia="cs-CZ"/>
        </w:rPr>
        <w:t xml:space="preserve"> a to až do 1. dne kalendářního měsíce bezprostředně následujícího po kalendářním měsíci, ve kterém doloží Pojišťovně nové</w:t>
      </w:r>
      <w:r w:rsidR="00996C8F">
        <w:rPr>
          <w:rFonts w:ascii="Arial" w:eastAsia="Calibri" w:hAnsi="Arial" w:cs="Arial"/>
          <w:sz w:val="18"/>
          <w:szCs w:val="18"/>
          <w:lang w:eastAsia="cs-CZ"/>
        </w:rPr>
        <w:t xml:space="preserve"> </w:t>
      </w:r>
      <w:r w:rsidR="00DE68A8">
        <w:rPr>
          <w:rFonts w:ascii="Arial" w:eastAsia="Calibri" w:hAnsi="Arial" w:cs="Arial"/>
          <w:sz w:val="18"/>
          <w:szCs w:val="18"/>
          <w:lang w:eastAsia="cs-CZ"/>
        </w:rPr>
        <w:t>Osvědčení</w:t>
      </w:r>
      <w:r w:rsidR="009D3173">
        <w:rPr>
          <w:rFonts w:ascii="Arial" w:eastAsia="Calibri" w:hAnsi="Arial" w:cs="Arial"/>
          <w:sz w:val="18"/>
          <w:szCs w:val="18"/>
          <w:lang w:eastAsia="cs-CZ"/>
        </w:rPr>
        <w:t>.</w:t>
      </w:r>
      <w:r w:rsidRPr="00E9728F">
        <w:rPr>
          <w:rFonts w:ascii="Arial" w:eastAsia="Calibri" w:hAnsi="Arial" w:cs="Arial"/>
          <w:sz w:val="18"/>
          <w:szCs w:val="18"/>
          <w:lang w:eastAsia="cs-CZ"/>
        </w:rPr>
        <w:t xml:space="preserve"> </w:t>
      </w:r>
    </w:p>
    <w:p w14:paraId="569BB98D" w14:textId="77777777" w:rsidR="00E9728F" w:rsidRPr="00E9728F" w:rsidRDefault="00E9728F" w:rsidP="00F960F3">
      <w:pPr>
        <w:widowControl w:val="0"/>
        <w:numPr>
          <w:ilvl w:val="0"/>
          <w:numId w:val="15"/>
        </w:numPr>
        <w:overflowPunct w:val="0"/>
        <w:autoSpaceDE w:val="0"/>
        <w:autoSpaceDN w:val="0"/>
        <w:adjustRightInd w:val="0"/>
        <w:spacing w:before="240" w:after="120" w:line="240" w:lineRule="auto"/>
        <w:jc w:val="both"/>
        <w:textAlignment w:val="baseline"/>
        <w:rPr>
          <w:rFonts w:ascii="Arial" w:eastAsia="Calibri" w:hAnsi="Arial" w:cs="Arial"/>
          <w:sz w:val="18"/>
          <w:szCs w:val="18"/>
          <w:lang w:eastAsia="cs-CZ"/>
        </w:rPr>
      </w:pPr>
      <w:r w:rsidRPr="00E9728F">
        <w:rPr>
          <w:rFonts w:ascii="Arial" w:eastAsia="Calibri" w:hAnsi="Arial" w:cs="Arial"/>
          <w:sz w:val="18"/>
          <w:szCs w:val="18"/>
          <w:lang w:eastAsia="cs-CZ"/>
        </w:rPr>
        <w:t xml:space="preserve">Poskytovatel předává doklady o změnách v registraci pojištěnců nejpozději do 5. dne kalendářního měsíce následujícího po </w:t>
      </w:r>
      <w:r w:rsidR="00DE68A8">
        <w:rPr>
          <w:rFonts w:ascii="Arial" w:eastAsia="Calibri" w:hAnsi="Arial" w:cs="Arial"/>
          <w:sz w:val="18"/>
          <w:szCs w:val="18"/>
          <w:lang w:eastAsia="cs-CZ"/>
        </w:rPr>
        <w:t xml:space="preserve">kalendářním </w:t>
      </w:r>
      <w:r w:rsidRPr="00E9728F">
        <w:rPr>
          <w:rFonts w:ascii="Arial" w:eastAsia="Calibri" w:hAnsi="Arial" w:cs="Arial"/>
          <w:sz w:val="18"/>
          <w:szCs w:val="18"/>
          <w:lang w:eastAsia="cs-CZ"/>
        </w:rPr>
        <w:t xml:space="preserve">měsíci, za který jsou nové registrace Pojišťovně předávány. Pokud Poskytovatel předává dávku č. 80 - přihlášky registrovaných pojištěnců elektronickou formou, je oprávněn ji předat Pojišťovně do 5. pracovního dne </w:t>
      </w:r>
      <w:r w:rsidR="00DE68A8">
        <w:rPr>
          <w:rFonts w:ascii="Arial" w:eastAsia="Calibri" w:hAnsi="Arial" w:cs="Arial"/>
          <w:sz w:val="18"/>
          <w:szCs w:val="18"/>
          <w:lang w:eastAsia="cs-CZ"/>
        </w:rPr>
        <w:t xml:space="preserve">kalendářního </w:t>
      </w:r>
      <w:r w:rsidRPr="00E9728F">
        <w:rPr>
          <w:rFonts w:ascii="Arial" w:eastAsia="Calibri" w:hAnsi="Arial" w:cs="Arial"/>
          <w:sz w:val="18"/>
          <w:szCs w:val="18"/>
          <w:lang w:eastAsia="cs-CZ"/>
        </w:rPr>
        <w:t xml:space="preserve">měsíce následujícího po </w:t>
      </w:r>
      <w:r w:rsidR="00DE68A8">
        <w:rPr>
          <w:rFonts w:ascii="Arial" w:eastAsia="Calibri" w:hAnsi="Arial" w:cs="Arial"/>
          <w:sz w:val="18"/>
          <w:szCs w:val="18"/>
          <w:lang w:eastAsia="cs-CZ"/>
        </w:rPr>
        <w:t xml:space="preserve">kalendářním </w:t>
      </w:r>
      <w:r w:rsidRPr="00E9728F">
        <w:rPr>
          <w:rFonts w:ascii="Arial" w:eastAsia="Calibri" w:hAnsi="Arial" w:cs="Arial"/>
          <w:sz w:val="18"/>
          <w:szCs w:val="18"/>
          <w:lang w:eastAsia="cs-CZ"/>
        </w:rPr>
        <w:t xml:space="preserve">měsíci, za který jsou nové registrace Pojišťovně předávány. Na přihlášce registrovaných pojištěnců je Poskytovatel povinen uvádět odbornost pracoviště a IČP, ke kterému je pojištěnec registrován. Registraci pojištěnce realizuje, pokud nejde o nepravidelnou péči nebo tomu nebrání jiné závažné důvody, vždy při prvním kontaktu s pojištěncem. </w:t>
      </w:r>
    </w:p>
    <w:p w14:paraId="2F2A4C63" w14:textId="77777777" w:rsidR="00E9728F" w:rsidRPr="00E9728F" w:rsidRDefault="00E9728F" w:rsidP="00F960F3">
      <w:pPr>
        <w:widowControl w:val="0"/>
        <w:numPr>
          <w:ilvl w:val="0"/>
          <w:numId w:val="15"/>
        </w:numPr>
        <w:overflowPunct w:val="0"/>
        <w:autoSpaceDE w:val="0"/>
        <w:autoSpaceDN w:val="0"/>
        <w:adjustRightInd w:val="0"/>
        <w:spacing w:before="240" w:after="120" w:line="240" w:lineRule="auto"/>
        <w:jc w:val="both"/>
        <w:textAlignment w:val="baseline"/>
        <w:rPr>
          <w:rFonts w:ascii="Arial" w:eastAsia="Calibri" w:hAnsi="Arial" w:cs="Arial"/>
          <w:sz w:val="18"/>
          <w:szCs w:val="18"/>
          <w:lang w:eastAsia="cs-CZ"/>
        </w:rPr>
      </w:pPr>
      <w:r w:rsidRPr="00E9728F">
        <w:rPr>
          <w:rFonts w:ascii="Arial" w:eastAsia="Calibri" w:hAnsi="Arial" w:cs="Arial"/>
          <w:sz w:val="18"/>
          <w:szCs w:val="18"/>
          <w:lang w:eastAsia="cs-CZ"/>
        </w:rPr>
        <w:t>Doklady o změnách v registraci pojištěnců předané po dohodnutém termínu nezakládají právo Poskytovatele na úhradu agregované platby za tyto pojištěnce v příslušném měsíci.</w:t>
      </w:r>
    </w:p>
    <w:p w14:paraId="04C1369A" w14:textId="77777777" w:rsidR="00C80C1C" w:rsidRDefault="00C80C1C" w:rsidP="00C80C1C">
      <w:pPr>
        <w:pStyle w:val="Odstavecseseznamem"/>
        <w:tabs>
          <w:tab w:val="left" w:pos="567"/>
        </w:tabs>
        <w:spacing w:before="240" w:after="0" w:line="240" w:lineRule="auto"/>
        <w:rPr>
          <w:rFonts w:ascii="Arial" w:eastAsia="Times New Roman" w:hAnsi="Arial" w:cs="Arial"/>
          <w:b/>
          <w:sz w:val="20"/>
          <w:szCs w:val="20"/>
          <w:lang w:eastAsia="cs-CZ"/>
        </w:rPr>
      </w:pPr>
    </w:p>
    <w:p w14:paraId="0358741C" w14:textId="77777777" w:rsidR="00A307BC" w:rsidRPr="00A307BC" w:rsidRDefault="00A307BC" w:rsidP="00C848AB">
      <w:pPr>
        <w:pStyle w:val="Odstavecseseznamem"/>
        <w:tabs>
          <w:tab w:val="left" w:pos="567"/>
        </w:tabs>
        <w:spacing w:before="240" w:after="0" w:line="240" w:lineRule="auto"/>
        <w:ind w:left="360"/>
        <w:rPr>
          <w:rFonts w:ascii="Arial" w:eastAsia="Times New Roman" w:hAnsi="Arial" w:cs="Arial"/>
          <w:b/>
          <w:sz w:val="20"/>
          <w:szCs w:val="20"/>
          <w:lang w:eastAsia="cs-CZ"/>
        </w:rPr>
      </w:pPr>
      <w:r>
        <w:rPr>
          <w:rFonts w:ascii="Arial" w:eastAsia="Times New Roman" w:hAnsi="Arial" w:cs="Arial"/>
          <w:b/>
          <w:sz w:val="20"/>
          <w:szCs w:val="20"/>
          <w:lang w:eastAsia="cs-CZ"/>
        </w:rPr>
        <w:t xml:space="preserve">                                                           </w:t>
      </w:r>
      <w:r w:rsidRPr="00A307BC">
        <w:rPr>
          <w:rFonts w:ascii="Arial" w:eastAsia="Times New Roman" w:hAnsi="Arial" w:cs="Arial"/>
          <w:b/>
          <w:sz w:val="20"/>
          <w:szCs w:val="20"/>
          <w:lang w:eastAsia="cs-CZ"/>
        </w:rPr>
        <w:t>Článek IV.</w:t>
      </w:r>
    </w:p>
    <w:p w14:paraId="736B188E" w14:textId="77777777" w:rsidR="00E9728F" w:rsidRPr="004E3F5F" w:rsidRDefault="00E9728F" w:rsidP="004E3F5F">
      <w:pPr>
        <w:tabs>
          <w:tab w:val="left" w:pos="284"/>
        </w:tabs>
        <w:spacing w:before="240" w:after="120" w:line="240" w:lineRule="auto"/>
        <w:ind w:left="284" w:hanging="284"/>
        <w:jc w:val="center"/>
        <w:rPr>
          <w:rFonts w:ascii="Arial" w:eastAsia="Times New Roman" w:hAnsi="Arial" w:cs="Arial"/>
          <w:b/>
          <w:sz w:val="20"/>
          <w:szCs w:val="20"/>
          <w:lang w:eastAsia="cs-CZ"/>
        </w:rPr>
      </w:pPr>
    </w:p>
    <w:p w14:paraId="6E99FD3D" w14:textId="77777777" w:rsidR="004E3F5F" w:rsidRPr="004E3F5F" w:rsidRDefault="004E3F5F" w:rsidP="004E3F5F">
      <w:pPr>
        <w:numPr>
          <w:ilvl w:val="0"/>
          <w:numId w:val="6"/>
        </w:numPr>
        <w:tabs>
          <w:tab w:val="left" w:pos="567"/>
        </w:tabs>
        <w:overflowPunct w:val="0"/>
        <w:autoSpaceDE w:val="0"/>
        <w:autoSpaceDN w:val="0"/>
        <w:adjustRightInd w:val="0"/>
        <w:spacing w:before="120" w:after="0" w:line="240" w:lineRule="auto"/>
        <w:ind w:left="567" w:hanging="567"/>
        <w:jc w:val="both"/>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 xml:space="preserve">Základním fakturačním obdobím je kalendářní měsíc. Smluvní strany se dohodly, že pro potřeby úhrady služeb hrazených dle tohoto Dodatku se za fakturaci podle Článku IV. odst. 4 Smlouvy a kapitoly III. Metodiky pro pořizování a předávání dokladu VZP ČR (dále jen „Metodika“) považuje i předávání dávek dokladů dle Metodiky a Smlouvy. </w:t>
      </w:r>
    </w:p>
    <w:p w14:paraId="2494FE87" w14:textId="77777777" w:rsidR="004E3F5F" w:rsidRPr="004E3F5F" w:rsidRDefault="004E3F5F" w:rsidP="004E3F5F">
      <w:pPr>
        <w:numPr>
          <w:ilvl w:val="0"/>
          <w:numId w:val="6"/>
        </w:numPr>
        <w:tabs>
          <w:tab w:val="left" w:pos="567"/>
        </w:tabs>
        <w:overflowPunct w:val="0"/>
        <w:autoSpaceDE w:val="0"/>
        <w:autoSpaceDN w:val="0"/>
        <w:adjustRightInd w:val="0"/>
        <w:spacing w:before="120" w:after="0" w:line="240" w:lineRule="auto"/>
        <w:ind w:left="567" w:hanging="567"/>
        <w:jc w:val="both"/>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 xml:space="preserve">Pokud vznikne nedoplatek ze strany Pojišťovny, bude Poskytovateli příslušná částka poukázána samostatnou platbou. Přeplatek ze strany Pojišťovny je Pojišťovna oprávněna započíst proti kterékoliv pohledávce Poskytovatele za Pojišťovnou, a to poté, co doručí Poskytovateli vyúčtování, v němž bude přeplatek uveden.  </w:t>
      </w:r>
    </w:p>
    <w:p w14:paraId="02F55424" w14:textId="77777777" w:rsidR="004E3F5F" w:rsidRPr="004E3F5F" w:rsidRDefault="004E3F5F" w:rsidP="004E3F5F">
      <w:pPr>
        <w:numPr>
          <w:ilvl w:val="0"/>
          <w:numId w:val="6"/>
        </w:numPr>
        <w:tabs>
          <w:tab w:val="left" w:pos="567"/>
        </w:tabs>
        <w:overflowPunct w:val="0"/>
        <w:autoSpaceDE w:val="0"/>
        <w:autoSpaceDN w:val="0"/>
        <w:adjustRightInd w:val="0"/>
        <w:spacing w:before="120" w:after="0" w:line="240" w:lineRule="auto"/>
        <w:ind w:left="567" w:hanging="567"/>
        <w:jc w:val="both"/>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Hrazené služby poskytnuté v období před 1. 1. 202</w:t>
      </w:r>
      <w:r w:rsidR="00D8516C">
        <w:rPr>
          <w:rFonts w:ascii="Arial" w:eastAsia="Times New Roman" w:hAnsi="Arial" w:cs="Arial"/>
          <w:sz w:val="18"/>
          <w:szCs w:val="18"/>
          <w:lang w:eastAsia="cs-CZ"/>
        </w:rPr>
        <w:t>2</w:t>
      </w:r>
      <w:r w:rsidRPr="004E3F5F">
        <w:rPr>
          <w:rFonts w:ascii="Arial" w:eastAsia="Times New Roman" w:hAnsi="Arial" w:cs="Arial"/>
          <w:sz w:val="18"/>
          <w:szCs w:val="18"/>
          <w:lang w:eastAsia="cs-CZ"/>
        </w:rPr>
        <w:t xml:space="preserve"> jsou vykazovány a hrazeny způsobem dohodnutým ve Smlouvě. Pro úhradu těchto služeb platí úhradová ujednání platná pro příslušné kalendářní období, ve kterém byly hrazené služby poskytnuty.</w:t>
      </w:r>
    </w:p>
    <w:p w14:paraId="18A9AD6A" w14:textId="77777777" w:rsidR="00C80C1C" w:rsidRDefault="00C80C1C" w:rsidP="004E3F5F">
      <w:pPr>
        <w:tabs>
          <w:tab w:val="left" w:pos="567"/>
        </w:tabs>
        <w:spacing w:before="240" w:after="0" w:line="240" w:lineRule="auto"/>
        <w:ind w:left="567" w:hanging="567"/>
        <w:jc w:val="center"/>
        <w:rPr>
          <w:rFonts w:ascii="Arial" w:eastAsia="Times New Roman" w:hAnsi="Arial" w:cs="Arial"/>
          <w:b/>
          <w:sz w:val="20"/>
          <w:szCs w:val="20"/>
          <w:lang w:eastAsia="cs-CZ"/>
        </w:rPr>
      </w:pPr>
    </w:p>
    <w:p w14:paraId="406E8829" w14:textId="77777777" w:rsidR="004E3F5F" w:rsidRPr="004E3F5F" w:rsidRDefault="004E3F5F" w:rsidP="004E3F5F">
      <w:pPr>
        <w:tabs>
          <w:tab w:val="left" w:pos="567"/>
        </w:tabs>
        <w:spacing w:before="240" w:after="0" w:line="240" w:lineRule="auto"/>
        <w:ind w:left="567" w:hanging="567"/>
        <w:jc w:val="center"/>
        <w:rPr>
          <w:rFonts w:ascii="Arial" w:eastAsia="Times New Roman" w:hAnsi="Arial" w:cs="Arial"/>
          <w:b/>
          <w:sz w:val="20"/>
          <w:szCs w:val="20"/>
          <w:lang w:eastAsia="cs-CZ"/>
        </w:rPr>
      </w:pPr>
      <w:r w:rsidRPr="004E3F5F">
        <w:rPr>
          <w:rFonts w:ascii="Arial" w:eastAsia="Times New Roman" w:hAnsi="Arial" w:cs="Arial"/>
          <w:b/>
          <w:sz w:val="20"/>
          <w:szCs w:val="20"/>
          <w:lang w:eastAsia="cs-CZ"/>
        </w:rPr>
        <w:t>Článek V.</w:t>
      </w:r>
    </w:p>
    <w:p w14:paraId="6B6A76C4" w14:textId="77777777" w:rsidR="004E3F5F" w:rsidRPr="004E3F5F" w:rsidRDefault="004E3F5F" w:rsidP="004E3F5F">
      <w:pPr>
        <w:numPr>
          <w:ilvl w:val="0"/>
          <w:numId w:val="3"/>
        </w:numPr>
        <w:overflowPunct w:val="0"/>
        <w:autoSpaceDE w:val="0"/>
        <w:autoSpaceDN w:val="0"/>
        <w:adjustRightInd w:val="0"/>
        <w:spacing w:before="120" w:after="0" w:line="240" w:lineRule="auto"/>
        <w:ind w:left="567" w:hanging="567"/>
        <w:jc w:val="both"/>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 xml:space="preserve">Poskytovatelem vykázané a Pojišťovnou uznané hrazené služby poskytnuté zahraničním pojištěncům budou hrazeny za stejných podmínek jako pojištěncům Pojišťovny.  </w:t>
      </w:r>
    </w:p>
    <w:p w14:paraId="6E5B304A" w14:textId="77777777" w:rsidR="004E3F5F" w:rsidRPr="004E3F5F" w:rsidRDefault="004E3F5F" w:rsidP="004E3F5F">
      <w:pPr>
        <w:numPr>
          <w:ilvl w:val="0"/>
          <w:numId w:val="3"/>
        </w:numPr>
        <w:overflowPunct w:val="0"/>
        <w:autoSpaceDE w:val="0"/>
        <w:autoSpaceDN w:val="0"/>
        <w:adjustRightInd w:val="0"/>
        <w:spacing w:before="120" w:after="0" w:line="240" w:lineRule="auto"/>
        <w:ind w:left="567" w:hanging="567"/>
        <w:jc w:val="both"/>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Zahraničním pojištěncem se rozumí pojištěnec definovaný v § 1 vyhlášky.</w:t>
      </w:r>
    </w:p>
    <w:p w14:paraId="3B588716" w14:textId="77777777" w:rsidR="004E3F5F" w:rsidRPr="004E3F5F" w:rsidRDefault="004E3F5F" w:rsidP="004E3F5F">
      <w:pPr>
        <w:keepNext/>
        <w:keepLines/>
        <w:tabs>
          <w:tab w:val="left" w:pos="567"/>
        </w:tabs>
        <w:spacing w:before="240" w:after="120" w:line="240" w:lineRule="auto"/>
        <w:ind w:left="567" w:hanging="567"/>
        <w:jc w:val="center"/>
        <w:outlineLvl w:val="1"/>
        <w:rPr>
          <w:rFonts w:ascii="Arial" w:eastAsia="Times New Roman" w:hAnsi="Arial" w:cs="Arial"/>
          <w:b/>
          <w:bCs/>
          <w:sz w:val="20"/>
          <w:szCs w:val="20"/>
        </w:rPr>
      </w:pPr>
      <w:r w:rsidRPr="004E3F5F">
        <w:rPr>
          <w:rFonts w:ascii="Arial" w:eastAsia="Times New Roman" w:hAnsi="Arial" w:cs="Arial"/>
          <w:b/>
          <w:bCs/>
          <w:sz w:val="20"/>
          <w:szCs w:val="20"/>
        </w:rPr>
        <w:t>Článek V</w:t>
      </w:r>
      <w:r w:rsidR="00A307BC">
        <w:rPr>
          <w:rFonts w:ascii="Arial" w:eastAsia="Times New Roman" w:hAnsi="Arial" w:cs="Arial"/>
          <w:b/>
          <w:bCs/>
          <w:sz w:val="20"/>
          <w:szCs w:val="20"/>
        </w:rPr>
        <w:t>I</w:t>
      </w:r>
      <w:r w:rsidRPr="004E3F5F">
        <w:rPr>
          <w:rFonts w:ascii="Arial" w:eastAsia="Times New Roman" w:hAnsi="Arial" w:cs="Arial"/>
          <w:b/>
          <w:bCs/>
          <w:sz w:val="20"/>
          <w:szCs w:val="20"/>
        </w:rPr>
        <w:t>.</w:t>
      </w:r>
    </w:p>
    <w:p w14:paraId="4E4328BD" w14:textId="77777777" w:rsidR="004E3F5F" w:rsidRPr="004E3F5F" w:rsidRDefault="004E3F5F" w:rsidP="004E3F5F">
      <w:pPr>
        <w:numPr>
          <w:ilvl w:val="0"/>
          <w:numId w:val="2"/>
        </w:numPr>
        <w:overflowPunct w:val="0"/>
        <w:autoSpaceDE w:val="0"/>
        <w:autoSpaceDN w:val="0"/>
        <w:adjustRightInd w:val="0"/>
        <w:spacing w:after="120" w:line="240" w:lineRule="auto"/>
        <w:ind w:left="567" w:hanging="567"/>
        <w:jc w:val="both"/>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 xml:space="preserve">Tento Dodatek se stává nedílnou součástí Smlouvy a nabývá platnosti dnem jeho uzavření. </w:t>
      </w:r>
    </w:p>
    <w:p w14:paraId="017EBB06" w14:textId="77777777" w:rsidR="004E3F5F" w:rsidRPr="004E3F5F" w:rsidRDefault="004E3F5F" w:rsidP="004E3F5F">
      <w:pPr>
        <w:numPr>
          <w:ilvl w:val="0"/>
          <w:numId w:val="2"/>
        </w:numPr>
        <w:overflowPunct w:val="0"/>
        <w:autoSpaceDE w:val="0"/>
        <w:autoSpaceDN w:val="0"/>
        <w:adjustRightInd w:val="0"/>
        <w:spacing w:after="120" w:line="240" w:lineRule="auto"/>
        <w:ind w:left="567" w:hanging="567"/>
        <w:jc w:val="both"/>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Tento Dodatek upravuje práva a povinnosti smluvních stran v období od 1. 1. 202</w:t>
      </w:r>
      <w:r w:rsidR="00D8516C">
        <w:rPr>
          <w:rFonts w:ascii="Arial" w:eastAsia="Times New Roman" w:hAnsi="Arial" w:cs="Arial"/>
          <w:sz w:val="18"/>
          <w:szCs w:val="18"/>
          <w:lang w:eastAsia="cs-CZ"/>
        </w:rPr>
        <w:t>2</w:t>
      </w:r>
      <w:r w:rsidRPr="004E3F5F">
        <w:rPr>
          <w:rFonts w:ascii="Arial" w:eastAsia="Times New Roman" w:hAnsi="Arial" w:cs="Arial"/>
          <w:sz w:val="18"/>
          <w:szCs w:val="18"/>
          <w:lang w:eastAsia="cs-CZ"/>
        </w:rPr>
        <w:t xml:space="preserve"> do 31. 12. 202</w:t>
      </w:r>
      <w:r w:rsidR="00D8516C">
        <w:rPr>
          <w:rFonts w:ascii="Arial" w:eastAsia="Times New Roman" w:hAnsi="Arial" w:cs="Arial"/>
          <w:sz w:val="18"/>
          <w:szCs w:val="18"/>
          <w:lang w:eastAsia="cs-CZ"/>
        </w:rPr>
        <w:t>2</w:t>
      </w:r>
      <w:r w:rsidRPr="004E3F5F">
        <w:rPr>
          <w:rFonts w:ascii="Arial" w:eastAsia="Times New Roman" w:hAnsi="Arial" w:cs="Arial"/>
          <w:sz w:val="18"/>
          <w:szCs w:val="18"/>
          <w:lang w:eastAsia="cs-CZ"/>
        </w:rPr>
        <w:t>.</w:t>
      </w:r>
    </w:p>
    <w:p w14:paraId="75D978EB" w14:textId="77777777" w:rsidR="004E3F5F" w:rsidRPr="004E3F5F" w:rsidRDefault="004E3F5F" w:rsidP="004E3F5F">
      <w:pPr>
        <w:numPr>
          <w:ilvl w:val="0"/>
          <w:numId w:val="2"/>
        </w:numPr>
        <w:overflowPunct w:val="0"/>
        <w:autoSpaceDE w:val="0"/>
        <w:autoSpaceDN w:val="0"/>
        <w:adjustRightInd w:val="0"/>
        <w:spacing w:after="120" w:line="240" w:lineRule="auto"/>
        <w:ind w:left="567" w:hanging="567"/>
        <w:jc w:val="both"/>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Tento Dodatek je</w:t>
      </w:r>
      <w:r w:rsidR="00B71901">
        <w:rPr>
          <w:rFonts w:ascii="Arial" w:eastAsia="Times New Roman" w:hAnsi="Arial" w:cs="Arial"/>
          <w:sz w:val="18"/>
          <w:szCs w:val="18"/>
          <w:lang w:eastAsia="cs-CZ"/>
        </w:rPr>
        <w:t xml:space="preserve"> uzavírán v elektronické nebo listinné podobě. Dodatek v listinné podobě je</w:t>
      </w:r>
      <w:r w:rsidRPr="004E3F5F">
        <w:rPr>
          <w:rFonts w:ascii="Arial" w:eastAsia="Times New Roman" w:hAnsi="Arial" w:cs="Arial"/>
          <w:sz w:val="18"/>
          <w:szCs w:val="18"/>
          <w:lang w:eastAsia="cs-CZ"/>
        </w:rPr>
        <w:t xml:space="preserve"> vyhotoven ve dvou stejnopisech, z nichž každá smluvní strana obdrží jedno vyhotovení.</w:t>
      </w:r>
    </w:p>
    <w:p w14:paraId="3300C1DD" w14:textId="77777777" w:rsidR="004E3F5F" w:rsidRPr="004E3F5F" w:rsidRDefault="004E3F5F" w:rsidP="004E3F5F">
      <w:pPr>
        <w:numPr>
          <w:ilvl w:val="0"/>
          <w:numId w:val="2"/>
        </w:numPr>
        <w:overflowPunct w:val="0"/>
        <w:autoSpaceDE w:val="0"/>
        <w:autoSpaceDN w:val="0"/>
        <w:adjustRightInd w:val="0"/>
        <w:spacing w:after="960" w:line="240" w:lineRule="auto"/>
        <w:ind w:left="567" w:hanging="567"/>
        <w:jc w:val="both"/>
        <w:textAlignment w:val="baseline"/>
        <w:rPr>
          <w:rFonts w:ascii="Arial" w:eastAsia="Times New Roman" w:hAnsi="Arial" w:cs="Arial"/>
          <w:sz w:val="18"/>
          <w:szCs w:val="18"/>
          <w:lang w:eastAsia="cs-CZ"/>
        </w:rPr>
      </w:pPr>
      <w:r w:rsidRPr="004E3F5F">
        <w:rPr>
          <w:rFonts w:ascii="Arial" w:eastAsia="Times New Roman" w:hAnsi="Arial" w:cs="Arial"/>
          <w:sz w:val="18"/>
          <w:szCs w:val="18"/>
          <w:lang w:eastAsia="cs-CZ"/>
        </w:rPr>
        <w:t>Smluvní strany svým podpisem stvrzují, že tento Dodatek Smlouvy byl uzavřen podle jejich svobodné vůle a že souhlasí s jeho obsahem.</w:t>
      </w:r>
    </w:p>
    <w:tbl>
      <w:tblPr>
        <w:tblW w:w="0" w:type="auto"/>
        <w:tblLook w:val="04A0" w:firstRow="1" w:lastRow="0" w:firstColumn="1" w:lastColumn="0" w:noHBand="0" w:noVBand="1"/>
      </w:tblPr>
      <w:tblGrid>
        <w:gridCol w:w="4542"/>
        <w:gridCol w:w="4530"/>
      </w:tblGrid>
      <w:tr w:rsidR="004E3F5F" w:rsidRPr="004E3F5F" w14:paraId="0DA7D7FA" w14:textId="77777777" w:rsidTr="00891360">
        <w:tc>
          <w:tcPr>
            <w:tcW w:w="4648" w:type="dxa"/>
          </w:tcPr>
          <w:p w14:paraId="3F1A0F48" w14:textId="77777777" w:rsidR="004E3F5F" w:rsidRPr="004E3F5F" w:rsidRDefault="004E3F5F" w:rsidP="004E3F5F">
            <w:pPr>
              <w:spacing w:after="0" w:line="240" w:lineRule="auto"/>
              <w:jc w:val="both"/>
              <w:rPr>
                <w:rFonts w:ascii="Arial" w:eastAsia="Times New Roman" w:hAnsi="Arial" w:cs="Arial"/>
                <w:sz w:val="18"/>
                <w:szCs w:val="18"/>
                <w:lang w:eastAsia="cs-CZ"/>
              </w:rPr>
            </w:pPr>
            <w:r w:rsidRPr="004E3F5F">
              <w:rPr>
                <w:rFonts w:ascii="Arial" w:eastAsia="Times New Roman" w:hAnsi="Arial" w:cs="Arial"/>
                <w:sz w:val="18"/>
                <w:szCs w:val="18"/>
                <w:lang w:eastAsia="cs-CZ"/>
              </w:rPr>
              <w:lastRenderedPageBreak/>
              <w:t>V……………………………dne……………………</w:t>
            </w:r>
          </w:p>
          <w:p w14:paraId="65C90862" w14:textId="77777777" w:rsidR="004E3F5F" w:rsidRPr="004E3F5F" w:rsidRDefault="004E3F5F" w:rsidP="004E3F5F">
            <w:pPr>
              <w:spacing w:before="1200" w:after="0" w:line="240" w:lineRule="auto"/>
              <w:jc w:val="center"/>
              <w:rPr>
                <w:rFonts w:ascii="Arial" w:eastAsia="Times New Roman" w:hAnsi="Arial" w:cs="Arial"/>
                <w:color w:val="999999"/>
                <w:sz w:val="18"/>
                <w:szCs w:val="18"/>
                <w:lang w:eastAsia="cs-CZ"/>
              </w:rPr>
            </w:pPr>
            <w:r w:rsidRPr="004E3F5F">
              <w:rPr>
                <w:rFonts w:ascii="Arial" w:eastAsia="Times New Roman" w:hAnsi="Arial" w:cs="Arial"/>
                <w:color w:val="999999"/>
                <w:sz w:val="18"/>
                <w:szCs w:val="18"/>
                <w:lang w:eastAsia="cs-CZ"/>
              </w:rPr>
              <w:t>razítko a podpis</w:t>
            </w:r>
          </w:p>
          <w:p w14:paraId="6C537F86" w14:textId="77777777" w:rsidR="004E3F5F" w:rsidRPr="004E3F5F" w:rsidRDefault="004E3F5F" w:rsidP="004E3F5F">
            <w:pPr>
              <w:spacing w:after="0" w:line="240" w:lineRule="auto"/>
              <w:jc w:val="center"/>
              <w:rPr>
                <w:rFonts w:ascii="Arial" w:eastAsia="Times New Roman" w:hAnsi="Arial" w:cs="Arial"/>
                <w:sz w:val="18"/>
                <w:szCs w:val="18"/>
                <w:lang w:eastAsia="cs-CZ"/>
              </w:rPr>
            </w:pPr>
            <w:r w:rsidRPr="004E3F5F">
              <w:rPr>
                <w:rFonts w:ascii="Arial" w:eastAsia="Times New Roman" w:hAnsi="Arial" w:cs="Arial"/>
                <w:sz w:val="18"/>
                <w:szCs w:val="18"/>
                <w:lang w:eastAsia="cs-CZ"/>
              </w:rPr>
              <w:t>.................................................................</w:t>
            </w:r>
          </w:p>
          <w:p w14:paraId="5A503568" w14:textId="77777777" w:rsidR="004E3F5F" w:rsidRPr="004E3F5F" w:rsidRDefault="004E3F5F" w:rsidP="004E3F5F">
            <w:pPr>
              <w:spacing w:after="0" w:line="240" w:lineRule="auto"/>
              <w:jc w:val="center"/>
              <w:rPr>
                <w:rFonts w:ascii="Arial" w:eastAsia="Times New Roman" w:hAnsi="Arial" w:cs="Arial"/>
                <w:sz w:val="18"/>
                <w:szCs w:val="18"/>
                <w:lang w:eastAsia="cs-CZ"/>
              </w:rPr>
            </w:pPr>
            <w:r w:rsidRPr="004E3F5F">
              <w:rPr>
                <w:rFonts w:ascii="Arial" w:eastAsia="Times New Roman" w:hAnsi="Arial" w:cs="Arial"/>
                <w:sz w:val="18"/>
                <w:szCs w:val="18"/>
                <w:lang w:eastAsia="cs-CZ"/>
              </w:rPr>
              <w:t>Za Poskytovatele</w:t>
            </w:r>
          </w:p>
          <w:p w14:paraId="521DCF31" w14:textId="77777777" w:rsidR="004E3F5F" w:rsidRPr="004E3F5F" w:rsidRDefault="004E3F5F" w:rsidP="004E3F5F">
            <w:pPr>
              <w:spacing w:after="0" w:line="240" w:lineRule="auto"/>
              <w:jc w:val="center"/>
              <w:rPr>
                <w:rFonts w:ascii="Arial" w:eastAsia="Times New Roman" w:hAnsi="Arial" w:cs="Arial"/>
                <w:sz w:val="18"/>
                <w:szCs w:val="18"/>
                <w:lang w:eastAsia="cs-CZ"/>
              </w:rPr>
            </w:pPr>
            <w:r w:rsidRPr="004E3F5F">
              <w:rPr>
                <w:rFonts w:ascii="Arial" w:eastAsia="Times New Roman" w:hAnsi="Arial" w:cs="Arial"/>
                <w:sz w:val="18"/>
                <w:szCs w:val="18"/>
                <w:lang w:eastAsia="cs-CZ"/>
              </w:rPr>
              <w:t>titul, jméno a příjmení</w:t>
            </w:r>
          </w:p>
          <w:p w14:paraId="5CA260AB" w14:textId="77777777" w:rsidR="004E3F5F" w:rsidRPr="004E3F5F" w:rsidRDefault="004E3F5F" w:rsidP="004E3F5F">
            <w:pPr>
              <w:spacing w:after="0" w:line="240" w:lineRule="auto"/>
              <w:jc w:val="center"/>
              <w:rPr>
                <w:rFonts w:ascii="Arial" w:eastAsia="Times New Roman" w:hAnsi="Arial" w:cs="Arial"/>
                <w:sz w:val="18"/>
                <w:szCs w:val="18"/>
                <w:lang w:eastAsia="cs-CZ"/>
              </w:rPr>
            </w:pPr>
            <w:r w:rsidRPr="004E3F5F">
              <w:rPr>
                <w:rFonts w:ascii="Arial" w:eastAsia="Times New Roman" w:hAnsi="Arial" w:cs="Arial"/>
                <w:sz w:val="18"/>
                <w:szCs w:val="18"/>
                <w:lang w:eastAsia="cs-CZ"/>
              </w:rPr>
              <w:t>funkce</w:t>
            </w:r>
          </w:p>
        </w:tc>
        <w:tc>
          <w:tcPr>
            <w:tcW w:w="4640" w:type="dxa"/>
          </w:tcPr>
          <w:p w14:paraId="5C63601A" w14:textId="77777777" w:rsidR="004E3F5F" w:rsidRPr="004E3F5F" w:rsidRDefault="004E3F5F" w:rsidP="004E3F5F">
            <w:pPr>
              <w:spacing w:after="0" w:line="240" w:lineRule="auto"/>
              <w:jc w:val="both"/>
              <w:rPr>
                <w:rFonts w:ascii="Arial" w:eastAsia="Times New Roman" w:hAnsi="Arial" w:cs="Arial"/>
                <w:sz w:val="18"/>
                <w:szCs w:val="18"/>
                <w:lang w:eastAsia="cs-CZ"/>
              </w:rPr>
            </w:pPr>
            <w:r w:rsidRPr="004E3F5F">
              <w:rPr>
                <w:rFonts w:ascii="Arial" w:eastAsia="Times New Roman" w:hAnsi="Arial" w:cs="Arial"/>
                <w:sz w:val="18"/>
                <w:szCs w:val="18"/>
                <w:lang w:eastAsia="cs-CZ"/>
              </w:rPr>
              <w:t>V……………</w:t>
            </w:r>
            <w:proofErr w:type="gramStart"/>
            <w:r w:rsidRPr="004E3F5F">
              <w:rPr>
                <w:rFonts w:ascii="Arial" w:eastAsia="Times New Roman" w:hAnsi="Arial" w:cs="Arial"/>
                <w:sz w:val="18"/>
                <w:szCs w:val="18"/>
                <w:lang w:eastAsia="cs-CZ"/>
              </w:rPr>
              <w:t>…….</w:t>
            </w:r>
            <w:proofErr w:type="gramEnd"/>
            <w:r w:rsidRPr="004E3F5F">
              <w:rPr>
                <w:rFonts w:ascii="Arial" w:eastAsia="Times New Roman" w:hAnsi="Arial" w:cs="Arial"/>
                <w:sz w:val="18"/>
                <w:szCs w:val="18"/>
                <w:lang w:eastAsia="cs-CZ"/>
              </w:rPr>
              <w:t>.……….dne……………………</w:t>
            </w:r>
          </w:p>
          <w:p w14:paraId="6B6AB96F" w14:textId="77777777" w:rsidR="004E3F5F" w:rsidRPr="004E3F5F" w:rsidRDefault="004E3F5F" w:rsidP="004E3F5F">
            <w:pPr>
              <w:spacing w:before="1200" w:after="0" w:line="240" w:lineRule="auto"/>
              <w:jc w:val="center"/>
              <w:rPr>
                <w:rFonts w:ascii="Arial" w:eastAsia="Times New Roman" w:hAnsi="Arial" w:cs="Arial"/>
                <w:color w:val="999999"/>
                <w:sz w:val="18"/>
                <w:szCs w:val="18"/>
                <w:lang w:eastAsia="cs-CZ"/>
              </w:rPr>
            </w:pPr>
            <w:r w:rsidRPr="004E3F5F">
              <w:rPr>
                <w:rFonts w:ascii="Arial" w:eastAsia="Times New Roman" w:hAnsi="Arial" w:cs="Arial"/>
                <w:color w:val="999999"/>
                <w:sz w:val="18"/>
                <w:szCs w:val="18"/>
                <w:lang w:eastAsia="cs-CZ"/>
              </w:rPr>
              <w:t>razítko a podpis</w:t>
            </w:r>
          </w:p>
          <w:p w14:paraId="7858B80E" w14:textId="77777777" w:rsidR="004E3F5F" w:rsidRPr="004E3F5F" w:rsidRDefault="004E3F5F" w:rsidP="004E3F5F">
            <w:pPr>
              <w:spacing w:after="0" w:line="240" w:lineRule="auto"/>
              <w:jc w:val="center"/>
              <w:rPr>
                <w:rFonts w:ascii="Arial" w:eastAsia="Times New Roman" w:hAnsi="Arial" w:cs="Arial"/>
                <w:sz w:val="18"/>
                <w:szCs w:val="18"/>
                <w:lang w:eastAsia="cs-CZ"/>
              </w:rPr>
            </w:pPr>
            <w:r w:rsidRPr="004E3F5F">
              <w:rPr>
                <w:rFonts w:ascii="Arial" w:eastAsia="Times New Roman" w:hAnsi="Arial" w:cs="Arial"/>
                <w:sz w:val="18"/>
                <w:szCs w:val="18"/>
                <w:lang w:eastAsia="cs-CZ"/>
              </w:rPr>
              <w:t>.................................................................</w:t>
            </w:r>
          </w:p>
          <w:p w14:paraId="7E99DE1A" w14:textId="77777777" w:rsidR="004E3F5F" w:rsidRPr="004E3F5F" w:rsidRDefault="004E3F5F" w:rsidP="004E3F5F">
            <w:pPr>
              <w:spacing w:after="0" w:line="240" w:lineRule="auto"/>
              <w:jc w:val="center"/>
              <w:rPr>
                <w:rFonts w:ascii="Arial" w:eastAsia="Times New Roman" w:hAnsi="Arial" w:cs="Arial"/>
                <w:sz w:val="18"/>
                <w:szCs w:val="18"/>
                <w:lang w:eastAsia="cs-CZ"/>
              </w:rPr>
            </w:pPr>
            <w:r w:rsidRPr="004E3F5F">
              <w:rPr>
                <w:rFonts w:ascii="Arial" w:eastAsia="Times New Roman" w:hAnsi="Arial" w:cs="Arial"/>
                <w:sz w:val="18"/>
                <w:szCs w:val="18"/>
                <w:lang w:eastAsia="cs-CZ"/>
              </w:rPr>
              <w:t xml:space="preserve">Za Pojišťovnu </w:t>
            </w:r>
          </w:p>
          <w:p w14:paraId="6FEA96BC" w14:textId="77777777" w:rsidR="004E3F5F" w:rsidRPr="004E3F5F" w:rsidRDefault="004E3F5F" w:rsidP="004E3F5F">
            <w:pPr>
              <w:spacing w:after="0" w:line="240" w:lineRule="auto"/>
              <w:jc w:val="center"/>
              <w:rPr>
                <w:rFonts w:ascii="Arial" w:eastAsia="Times New Roman" w:hAnsi="Arial" w:cs="Arial"/>
                <w:sz w:val="18"/>
                <w:szCs w:val="18"/>
                <w:lang w:eastAsia="cs-CZ"/>
              </w:rPr>
            </w:pPr>
            <w:r w:rsidRPr="004E3F5F">
              <w:rPr>
                <w:rFonts w:ascii="Arial" w:eastAsia="Times New Roman" w:hAnsi="Arial" w:cs="Arial"/>
                <w:sz w:val="18"/>
                <w:szCs w:val="18"/>
                <w:lang w:eastAsia="cs-CZ"/>
              </w:rPr>
              <w:t>titul, jméno a příjmení</w:t>
            </w:r>
          </w:p>
          <w:p w14:paraId="15A59DEA" w14:textId="77777777" w:rsidR="004E3F5F" w:rsidRPr="004E3F5F" w:rsidRDefault="004E3F5F" w:rsidP="004E3F5F">
            <w:pPr>
              <w:spacing w:after="0" w:line="240" w:lineRule="auto"/>
              <w:jc w:val="center"/>
              <w:rPr>
                <w:rFonts w:ascii="Arial" w:eastAsia="Times New Roman" w:hAnsi="Arial" w:cs="Arial"/>
                <w:sz w:val="18"/>
                <w:szCs w:val="18"/>
                <w:lang w:eastAsia="cs-CZ"/>
              </w:rPr>
            </w:pPr>
            <w:r w:rsidRPr="004E3F5F">
              <w:rPr>
                <w:rFonts w:ascii="Arial" w:eastAsia="Times New Roman" w:hAnsi="Arial" w:cs="Arial"/>
                <w:sz w:val="18"/>
                <w:szCs w:val="18"/>
                <w:lang w:eastAsia="cs-CZ"/>
              </w:rPr>
              <w:t>funkce</w:t>
            </w:r>
          </w:p>
        </w:tc>
      </w:tr>
    </w:tbl>
    <w:p w14:paraId="7B154D9C" w14:textId="77777777" w:rsidR="004E3F5F" w:rsidRPr="004E3F5F" w:rsidRDefault="004E3F5F" w:rsidP="004E3F5F">
      <w:pPr>
        <w:spacing w:after="0" w:line="240" w:lineRule="auto"/>
        <w:jc w:val="both"/>
        <w:rPr>
          <w:rFonts w:ascii="Times New Roman" w:eastAsia="Times New Roman" w:hAnsi="Times New Roman" w:cs="Times New Roman"/>
          <w:sz w:val="18"/>
          <w:szCs w:val="18"/>
          <w:lang w:eastAsia="cs-CZ"/>
        </w:rPr>
      </w:pPr>
    </w:p>
    <w:p w14:paraId="7B4F57EC" w14:textId="77777777" w:rsidR="004E3F5F" w:rsidRPr="004E3F5F" w:rsidRDefault="004E3F5F" w:rsidP="004E3F5F">
      <w:pPr>
        <w:spacing w:after="0" w:line="240" w:lineRule="auto"/>
        <w:jc w:val="both"/>
        <w:rPr>
          <w:rFonts w:ascii="Times New Roman" w:eastAsia="Times New Roman" w:hAnsi="Times New Roman" w:cs="Times New Roman"/>
          <w:b/>
          <w:sz w:val="24"/>
          <w:szCs w:val="24"/>
          <w:lang w:eastAsia="cs-CZ"/>
        </w:rPr>
      </w:pPr>
    </w:p>
    <w:p w14:paraId="2DECFB7C" w14:textId="77777777" w:rsidR="00604D0C" w:rsidRDefault="00604D0C"/>
    <w:sectPr w:rsidR="00604D0C" w:rsidSect="00D60DBB">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7054" w16cex:dateUtc="2021-12-21T14:25:00Z"/>
  <w16cex:commentExtensible w16cex:durableId="256C52E0" w16cex:dateUtc="2021-12-21T10:10:00Z"/>
  <w16cex:commentExtensible w16cex:durableId="256C6F93" w16cex:dateUtc="2021-12-21T14:21:00Z"/>
  <w16cex:commentExtensible w16cex:durableId="256C7429" w16cex:dateUtc="2021-12-21T14: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4A2E3" w14:textId="77777777" w:rsidR="00815736" w:rsidRDefault="00815736">
      <w:pPr>
        <w:spacing w:after="0" w:line="240" w:lineRule="auto"/>
      </w:pPr>
      <w:r>
        <w:separator/>
      </w:r>
    </w:p>
  </w:endnote>
  <w:endnote w:type="continuationSeparator" w:id="0">
    <w:p w14:paraId="3E2C3AEA" w14:textId="77777777" w:rsidR="00815736" w:rsidRDefault="0081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3C62358F" w14:textId="77777777" w:rsidR="00E837AD" w:rsidRDefault="004E3F5F">
            <w:pPr>
              <w:pStyle w:val="Zpat"/>
              <w:jc w:val="right"/>
            </w:pPr>
            <w:r w:rsidRPr="00B72403">
              <w:rPr>
                <w:rFonts w:ascii="Arial" w:hAnsi="Arial" w:cs="Arial"/>
                <w:sz w:val="16"/>
                <w:szCs w:val="16"/>
              </w:rPr>
              <w:t xml:space="preserve">Stránka </w:t>
            </w:r>
            <w:r w:rsidRPr="00B72403">
              <w:rPr>
                <w:rFonts w:ascii="Arial" w:hAnsi="Arial" w:cs="Arial"/>
                <w:bCs/>
                <w:sz w:val="16"/>
                <w:szCs w:val="16"/>
              </w:rPr>
              <w:fldChar w:fldCharType="begin"/>
            </w:r>
            <w:r w:rsidRPr="00B72403">
              <w:rPr>
                <w:rFonts w:ascii="Arial" w:hAnsi="Arial" w:cs="Arial"/>
                <w:bCs/>
                <w:sz w:val="16"/>
                <w:szCs w:val="16"/>
              </w:rPr>
              <w:instrText>PAGE</w:instrText>
            </w:r>
            <w:r w:rsidRPr="00B72403">
              <w:rPr>
                <w:rFonts w:ascii="Arial" w:hAnsi="Arial" w:cs="Arial"/>
                <w:bCs/>
                <w:sz w:val="16"/>
                <w:szCs w:val="16"/>
              </w:rPr>
              <w:fldChar w:fldCharType="separate"/>
            </w:r>
            <w:r w:rsidR="000F2817">
              <w:rPr>
                <w:rFonts w:ascii="Arial" w:hAnsi="Arial" w:cs="Arial"/>
                <w:bCs/>
                <w:noProof/>
                <w:sz w:val="16"/>
                <w:szCs w:val="16"/>
              </w:rPr>
              <w:t>2</w:t>
            </w:r>
            <w:r w:rsidRPr="00B72403">
              <w:rPr>
                <w:rFonts w:ascii="Arial" w:hAnsi="Arial" w:cs="Arial"/>
                <w:bCs/>
                <w:sz w:val="16"/>
                <w:szCs w:val="16"/>
              </w:rPr>
              <w:fldChar w:fldCharType="end"/>
            </w:r>
            <w:r w:rsidRPr="00B72403">
              <w:rPr>
                <w:rFonts w:ascii="Arial" w:hAnsi="Arial" w:cs="Arial"/>
                <w:sz w:val="16"/>
                <w:szCs w:val="16"/>
              </w:rPr>
              <w:t xml:space="preserve"> z </w:t>
            </w:r>
            <w:r w:rsidRPr="00B72403">
              <w:rPr>
                <w:rFonts w:ascii="Arial" w:hAnsi="Arial" w:cs="Arial"/>
                <w:bCs/>
                <w:sz w:val="16"/>
                <w:szCs w:val="16"/>
              </w:rPr>
              <w:fldChar w:fldCharType="begin"/>
            </w:r>
            <w:r w:rsidRPr="00B72403">
              <w:rPr>
                <w:rFonts w:ascii="Arial" w:hAnsi="Arial" w:cs="Arial"/>
                <w:bCs/>
                <w:sz w:val="16"/>
                <w:szCs w:val="16"/>
              </w:rPr>
              <w:instrText>NUMPAGES</w:instrText>
            </w:r>
            <w:r w:rsidRPr="00B72403">
              <w:rPr>
                <w:rFonts w:ascii="Arial" w:hAnsi="Arial" w:cs="Arial"/>
                <w:bCs/>
                <w:sz w:val="16"/>
                <w:szCs w:val="16"/>
              </w:rPr>
              <w:fldChar w:fldCharType="separate"/>
            </w:r>
            <w:r w:rsidR="000F2817">
              <w:rPr>
                <w:rFonts w:ascii="Arial" w:hAnsi="Arial" w:cs="Arial"/>
                <w:bCs/>
                <w:noProof/>
                <w:sz w:val="16"/>
                <w:szCs w:val="16"/>
              </w:rPr>
              <w:t>3</w:t>
            </w:r>
            <w:r w:rsidRPr="00B72403">
              <w:rPr>
                <w:rFonts w:ascii="Arial" w:hAnsi="Arial" w:cs="Arial"/>
                <w:bCs/>
                <w:sz w:val="16"/>
                <w:szCs w:val="16"/>
              </w:rPr>
              <w:fldChar w:fldCharType="end"/>
            </w:r>
          </w:p>
        </w:sdtContent>
      </w:sdt>
    </w:sdtContent>
  </w:sdt>
  <w:p w14:paraId="1EAD7203" w14:textId="77777777" w:rsidR="00E837AD" w:rsidRDefault="008157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6C9AE658" w14:textId="77777777" w:rsidR="00E837AD" w:rsidRDefault="004E3F5F">
            <w:pPr>
              <w:pStyle w:val="Zpat"/>
              <w:jc w:val="right"/>
            </w:pPr>
            <w:r w:rsidRPr="00D60DBB">
              <w:rPr>
                <w:rFonts w:ascii="Arial" w:hAnsi="Arial" w:cs="Arial"/>
                <w:sz w:val="16"/>
                <w:szCs w:val="16"/>
              </w:rPr>
              <w:t xml:space="preserve">Stránka </w:t>
            </w:r>
            <w:r w:rsidRPr="00D60DBB">
              <w:rPr>
                <w:rFonts w:ascii="Arial" w:hAnsi="Arial" w:cs="Arial"/>
                <w:bCs/>
                <w:sz w:val="16"/>
                <w:szCs w:val="16"/>
              </w:rPr>
              <w:fldChar w:fldCharType="begin"/>
            </w:r>
            <w:r w:rsidRPr="00D60DBB">
              <w:rPr>
                <w:rFonts w:ascii="Arial" w:hAnsi="Arial" w:cs="Arial"/>
                <w:bCs/>
                <w:sz w:val="16"/>
                <w:szCs w:val="16"/>
              </w:rPr>
              <w:instrText>PAGE</w:instrText>
            </w:r>
            <w:r w:rsidRPr="00D60DBB">
              <w:rPr>
                <w:rFonts w:ascii="Arial" w:hAnsi="Arial" w:cs="Arial"/>
                <w:bCs/>
                <w:sz w:val="16"/>
                <w:szCs w:val="16"/>
              </w:rPr>
              <w:fldChar w:fldCharType="separate"/>
            </w:r>
            <w:r w:rsidR="000F2817">
              <w:rPr>
                <w:rFonts w:ascii="Arial" w:hAnsi="Arial" w:cs="Arial"/>
                <w:bCs/>
                <w:noProof/>
                <w:sz w:val="16"/>
                <w:szCs w:val="16"/>
              </w:rPr>
              <w:t>1</w:t>
            </w:r>
            <w:r w:rsidRPr="00D60DBB">
              <w:rPr>
                <w:rFonts w:ascii="Arial" w:hAnsi="Arial" w:cs="Arial"/>
                <w:bCs/>
                <w:sz w:val="16"/>
                <w:szCs w:val="16"/>
              </w:rPr>
              <w:fldChar w:fldCharType="end"/>
            </w:r>
            <w:r w:rsidRPr="00D60DBB">
              <w:rPr>
                <w:rFonts w:ascii="Arial" w:hAnsi="Arial" w:cs="Arial"/>
                <w:sz w:val="16"/>
                <w:szCs w:val="16"/>
              </w:rPr>
              <w:t xml:space="preserve"> z </w:t>
            </w:r>
            <w:r w:rsidRPr="00D60DBB">
              <w:rPr>
                <w:rFonts w:ascii="Arial" w:hAnsi="Arial" w:cs="Arial"/>
                <w:bCs/>
                <w:sz w:val="16"/>
                <w:szCs w:val="16"/>
              </w:rPr>
              <w:fldChar w:fldCharType="begin"/>
            </w:r>
            <w:r w:rsidRPr="00D60DBB">
              <w:rPr>
                <w:rFonts w:ascii="Arial" w:hAnsi="Arial" w:cs="Arial"/>
                <w:bCs/>
                <w:sz w:val="16"/>
                <w:szCs w:val="16"/>
              </w:rPr>
              <w:instrText>NUMPAGES</w:instrText>
            </w:r>
            <w:r w:rsidRPr="00D60DBB">
              <w:rPr>
                <w:rFonts w:ascii="Arial" w:hAnsi="Arial" w:cs="Arial"/>
                <w:bCs/>
                <w:sz w:val="16"/>
                <w:szCs w:val="16"/>
              </w:rPr>
              <w:fldChar w:fldCharType="separate"/>
            </w:r>
            <w:r w:rsidR="000F2817">
              <w:rPr>
                <w:rFonts w:ascii="Arial" w:hAnsi="Arial" w:cs="Arial"/>
                <w:bCs/>
                <w:noProof/>
                <w:sz w:val="16"/>
                <w:szCs w:val="16"/>
              </w:rPr>
              <w:t>3</w:t>
            </w:r>
            <w:r w:rsidRPr="00D60DBB">
              <w:rPr>
                <w:rFonts w:ascii="Arial" w:hAnsi="Arial" w:cs="Arial"/>
                <w:bCs/>
                <w:sz w:val="16"/>
                <w:szCs w:val="16"/>
              </w:rPr>
              <w:fldChar w:fldCharType="end"/>
            </w:r>
          </w:p>
        </w:sdtContent>
      </w:sdt>
    </w:sdtContent>
  </w:sdt>
  <w:p w14:paraId="0D83A539" w14:textId="77777777" w:rsidR="00E837AD" w:rsidRDefault="008157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3837A" w14:textId="77777777" w:rsidR="00815736" w:rsidRDefault="00815736">
      <w:pPr>
        <w:spacing w:after="0" w:line="240" w:lineRule="auto"/>
      </w:pPr>
      <w:r>
        <w:separator/>
      </w:r>
    </w:p>
  </w:footnote>
  <w:footnote w:type="continuationSeparator" w:id="0">
    <w:p w14:paraId="0DD0F3C7" w14:textId="77777777" w:rsidR="00815736" w:rsidRDefault="00815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A56B7" w14:textId="032EDFFB" w:rsidR="005A6797" w:rsidRPr="005A6797" w:rsidRDefault="004E3F5F" w:rsidP="005A6797">
    <w:pPr>
      <w:pStyle w:val="Zhlav"/>
      <w:tabs>
        <w:tab w:val="clear" w:pos="4536"/>
        <w:tab w:val="clear" w:pos="9072"/>
        <w:tab w:val="center" w:pos="4763"/>
        <w:tab w:val="right" w:pos="9526"/>
      </w:tabs>
      <w:rPr>
        <w:rFonts w:ascii="Arial" w:hAnsi="Arial" w:cs="Arial"/>
        <w:sz w:val="18"/>
        <w:szCs w:val="18"/>
      </w:rPr>
    </w:pPr>
    <w:r>
      <w:rPr>
        <w:noProof/>
      </w:rPr>
      <w:drawing>
        <wp:inline distT="0" distB="0" distL="0" distR="0" wp14:anchorId="66DED2B8" wp14:editId="0D46BF28">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p>
  <w:p w14:paraId="4E4D79FB" w14:textId="77777777" w:rsidR="00E837AD" w:rsidRDefault="00815736" w:rsidP="00B601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172"/>
    <w:multiLevelType w:val="hybridMultilevel"/>
    <w:tmpl w:val="666A5578"/>
    <w:lvl w:ilvl="0" w:tplc="244E3C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160D58"/>
    <w:multiLevelType w:val="hybridMultilevel"/>
    <w:tmpl w:val="E7FE86D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1BC0DBF"/>
    <w:multiLevelType w:val="hybridMultilevel"/>
    <w:tmpl w:val="BB16CDFA"/>
    <w:lvl w:ilvl="0" w:tplc="0405000F">
      <w:start w:val="1"/>
      <w:numFmt w:val="decimal"/>
      <w:lvlText w:val="%1."/>
      <w:lvlJc w:val="left"/>
      <w:pPr>
        <w:ind w:left="925" w:hanging="360"/>
      </w:pPr>
      <w:rPr>
        <w:rFonts w:hint="default"/>
      </w:rPr>
    </w:lvl>
    <w:lvl w:ilvl="1" w:tplc="04050019" w:tentative="1">
      <w:start w:val="1"/>
      <w:numFmt w:val="lowerLetter"/>
      <w:lvlText w:val="%2."/>
      <w:lvlJc w:val="left"/>
      <w:pPr>
        <w:ind w:left="1645" w:hanging="360"/>
      </w:pPr>
    </w:lvl>
    <w:lvl w:ilvl="2" w:tplc="0405001B" w:tentative="1">
      <w:start w:val="1"/>
      <w:numFmt w:val="lowerRoman"/>
      <w:lvlText w:val="%3."/>
      <w:lvlJc w:val="right"/>
      <w:pPr>
        <w:ind w:left="2365" w:hanging="180"/>
      </w:pPr>
    </w:lvl>
    <w:lvl w:ilvl="3" w:tplc="0405000F" w:tentative="1">
      <w:start w:val="1"/>
      <w:numFmt w:val="decimal"/>
      <w:lvlText w:val="%4."/>
      <w:lvlJc w:val="left"/>
      <w:pPr>
        <w:ind w:left="3085" w:hanging="360"/>
      </w:pPr>
    </w:lvl>
    <w:lvl w:ilvl="4" w:tplc="04050019" w:tentative="1">
      <w:start w:val="1"/>
      <w:numFmt w:val="lowerLetter"/>
      <w:lvlText w:val="%5."/>
      <w:lvlJc w:val="left"/>
      <w:pPr>
        <w:ind w:left="3805" w:hanging="360"/>
      </w:pPr>
    </w:lvl>
    <w:lvl w:ilvl="5" w:tplc="0405001B" w:tentative="1">
      <w:start w:val="1"/>
      <w:numFmt w:val="lowerRoman"/>
      <w:lvlText w:val="%6."/>
      <w:lvlJc w:val="right"/>
      <w:pPr>
        <w:ind w:left="4525" w:hanging="180"/>
      </w:pPr>
    </w:lvl>
    <w:lvl w:ilvl="6" w:tplc="0405000F" w:tentative="1">
      <w:start w:val="1"/>
      <w:numFmt w:val="decimal"/>
      <w:lvlText w:val="%7."/>
      <w:lvlJc w:val="left"/>
      <w:pPr>
        <w:ind w:left="5245" w:hanging="360"/>
      </w:pPr>
    </w:lvl>
    <w:lvl w:ilvl="7" w:tplc="04050019" w:tentative="1">
      <w:start w:val="1"/>
      <w:numFmt w:val="lowerLetter"/>
      <w:lvlText w:val="%8."/>
      <w:lvlJc w:val="left"/>
      <w:pPr>
        <w:ind w:left="5965" w:hanging="360"/>
      </w:pPr>
    </w:lvl>
    <w:lvl w:ilvl="8" w:tplc="0405001B" w:tentative="1">
      <w:start w:val="1"/>
      <w:numFmt w:val="lowerRoman"/>
      <w:lvlText w:val="%9."/>
      <w:lvlJc w:val="right"/>
      <w:pPr>
        <w:ind w:left="6685" w:hanging="180"/>
      </w:pPr>
    </w:lvl>
  </w:abstractNum>
  <w:abstractNum w:abstractNumId="3" w15:restartNumberingAfterBreak="0">
    <w:nsid w:val="1ADA635E"/>
    <w:multiLevelType w:val="hybridMultilevel"/>
    <w:tmpl w:val="E8360D0C"/>
    <w:lvl w:ilvl="0" w:tplc="F33CD586">
      <w:start w:val="1"/>
      <w:numFmt w:val="bullet"/>
      <w:lvlText w:val="-"/>
      <w:lvlJc w:val="left"/>
      <w:pPr>
        <w:ind w:left="1146" w:hanging="360"/>
      </w:pPr>
      <w:rPr>
        <w:rFonts w:ascii="Arial" w:eastAsia="Calibri"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26802592"/>
    <w:multiLevelType w:val="multilevel"/>
    <w:tmpl w:val="65D880F4"/>
    <w:lvl w:ilvl="0">
      <w:start w:val="1"/>
      <w:numFmt w:val="decimal"/>
      <w:lvlText w:val="%1."/>
      <w:lvlJc w:val="lef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15:restartNumberingAfterBreak="0">
    <w:nsid w:val="2CCE0C85"/>
    <w:multiLevelType w:val="hybridMultilevel"/>
    <w:tmpl w:val="AE72B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B9DA8A28">
      <w:start w:val="2"/>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5458E"/>
    <w:multiLevelType w:val="hybridMultilevel"/>
    <w:tmpl w:val="E7FE86D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1DC07D7"/>
    <w:multiLevelType w:val="hybridMultilevel"/>
    <w:tmpl w:val="24227F22"/>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E403FBE"/>
    <w:multiLevelType w:val="hybridMultilevel"/>
    <w:tmpl w:val="333E38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F287BA3"/>
    <w:multiLevelType w:val="multilevel"/>
    <w:tmpl w:val="E4D676DE"/>
    <w:lvl w:ilvl="0">
      <w:start w:val="1"/>
      <w:numFmt w:val="decimal"/>
      <w:lvlText w:val="%1."/>
      <w:lvlJc w:val="lef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0" w15:restartNumberingAfterBreak="0">
    <w:nsid w:val="524B5B7F"/>
    <w:multiLevelType w:val="multilevel"/>
    <w:tmpl w:val="CEA653C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5497713D"/>
    <w:multiLevelType w:val="hybridMultilevel"/>
    <w:tmpl w:val="58841C5A"/>
    <w:lvl w:ilvl="0" w:tplc="F714627C">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D925BD9"/>
    <w:multiLevelType w:val="hybridMultilevel"/>
    <w:tmpl w:val="9E9063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8C2D0C"/>
    <w:multiLevelType w:val="hybridMultilevel"/>
    <w:tmpl w:val="344467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156484"/>
    <w:multiLevelType w:val="hybridMultilevel"/>
    <w:tmpl w:val="E116B6FE"/>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5" w15:restartNumberingAfterBreak="0">
    <w:nsid w:val="7B4E28A6"/>
    <w:multiLevelType w:val="multilevel"/>
    <w:tmpl w:val="47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6459F5"/>
    <w:multiLevelType w:val="hybridMultilevel"/>
    <w:tmpl w:val="B696141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4"/>
  </w:num>
  <w:num w:numId="5">
    <w:abstractNumId w:val="2"/>
  </w:num>
  <w:num w:numId="6">
    <w:abstractNumId w:val="9"/>
  </w:num>
  <w:num w:numId="7">
    <w:abstractNumId w:val="0"/>
  </w:num>
  <w:num w:numId="8">
    <w:abstractNumId w:val="14"/>
  </w:num>
  <w:num w:numId="9">
    <w:abstractNumId w:val="15"/>
  </w:num>
  <w:num w:numId="10">
    <w:abstractNumId w:val="10"/>
  </w:num>
  <w:num w:numId="11">
    <w:abstractNumId w:val="16"/>
  </w:num>
  <w:num w:numId="12">
    <w:abstractNumId w:val="13"/>
  </w:num>
  <w:num w:numId="13">
    <w:abstractNumId w:val="7"/>
  </w:num>
  <w:num w:numId="14">
    <w:abstractNumId w:val="3"/>
  </w:num>
  <w:num w:numId="15">
    <w:abstractNumId w:val="1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5F"/>
    <w:rsid w:val="00011FB8"/>
    <w:rsid w:val="00017181"/>
    <w:rsid w:val="00060908"/>
    <w:rsid w:val="00071AF1"/>
    <w:rsid w:val="0008649B"/>
    <w:rsid w:val="00096493"/>
    <w:rsid w:val="000E77AB"/>
    <w:rsid w:val="000F2817"/>
    <w:rsid w:val="000F7DBF"/>
    <w:rsid w:val="001234D9"/>
    <w:rsid w:val="00126D89"/>
    <w:rsid w:val="001352ED"/>
    <w:rsid w:val="00142CD3"/>
    <w:rsid w:val="00151FA0"/>
    <w:rsid w:val="00152BE2"/>
    <w:rsid w:val="00160AD5"/>
    <w:rsid w:val="0017072A"/>
    <w:rsid w:val="001901F5"/>
    <w:rsid w:val="00191518"/>
    <w:rsid w:val="001B76AD"/>
    <w:rsid w:val="001E3FC6"/>
    <w:rsid w:val="00202B58"/>
    <w:rsid w:val="00203D7D"/>
    <w:rsid w:val="00224FBB"/>
    <w:rsid w:val="00241633"/>
    <w:rsid w:val="00243B41"/>
    <w:rsid w:val="00256FF9"/>
    <w:rsid w:val="0026243C"/>
    <w:rsid w:val="00282AF5"/>
    <w:rsid w:val="002A1E4F"/>
    <w:rsid w:val="002B2BA8"/>
    <w:rsid w:val="002D43F0"/>
    <w:rsid w:val="002E7AD6"/>
    <w:rsid w:val="00320867"/>
    <w:rsid w:val="00345FDC"/>
    <w:rsid w:val="00367D10"/>
    <w:rsid w:val="00384CCE"/>
    <w:rsid w:val="00390D48"/>
    <w:rsid w:val="0039158B"/>
    <w:rsid w:val="003A6640"/>
    <w:rsid w:val="003A7257"/>
    <w:rsid w:val="003B7E41"/>
    <w:rsid w:val="003D11A7"/>
    <w:rsid w:val="00402314"/>
    <w:rsid w:val="00403F4C"/>
    <w:rsid w:val="004273BF"/>
    <w:rsid w:val="0049359C"/>
    <w:rsid w:val="004E08C1"/>
    <w:rsid w:val="004E3F5F"/>
    <w:rsid w:val="004F0D9E"/>
    <w:rsid w:val="0053347C"/>
    <w:rsid w:val="00536B60"/>
    <w:rsid w:val="0053720F"/>
    <w:rsid w:val="00555A8D"/>
    <w:rsid w:val="00562FA5"/>
    <w:rsid w:val="00564D65"/>
    <w:rsid w:val="005662C7"/>
    <w:rsid w:val="005A07C7"/>
    <w:rsid w:val="005A6797"/>
    <w:rsid w:val="005B36BE"/>
    <w:rsid w:val="005B7D8E"/>
    <w:rsid w:val="005E0A57"/>
    <w:rsid w:val="005F2BD0"/>
    <w:rsid w:val="00604D0C"/>
    <w:rsid w:val="00605FEB"/>
    <w:rsid w:val="00613EC1"/>
    <w:rsid w:val="006148CC"/>
    <w:rsid w:val="0064167A"/>
    <w:rsid w:val="00654669"/>
    <w:rsid w:val="006731E6"/>
    <w:rsid w:val="00683ABB"/>
    <w:rsid w:val="006848E9"/>
    <w:rsid w:val="00684AB1"/>
    <w:rsid w:val="006941D3"/>
    <w:rsid w:val="006D60C4"/>
    <w:rsid w:val="006E5BCE"/>
    <w:rsid w:val="006F0994"/>
    <w:rsid w:val="006F1777"/>
    <w:rsid w:val="00706E7F"/>
    <w:rsid w:val="007071BF"/>
    <w:rsid w:val="00735C73"/>
    <w:rsid w:val="00752B2D"/>
    <w:rsid w:val="00755F0A"/>
    <w:rsid w:val="0076556C"/>
    <w:rsid w:val="00774BA3"/>
    <w:rsid w:val="007825F6"/>
    <w:rsid w:val="007965B6"/>
    <w:rsid w:val="007E264B"/>
    <w:rsid w:val="007F2CA1"/>
    <w:rsid w:val="008007D8"/>
    <w:rsid w:val="0081549A"/>
    <w:rsid w:val="00815736"/>
    <w:rsid w:val="008720AD"/>
    <w:rsid w:val="00876D7A"/>
    <w:rsid w:val="008838CE"/>
    <w:rsid w:val="0088596B"/>
    <w:rsid w:val="00893FA5"/>
    <w:rsid w:val="008968D8"/>
    <w:rsid w:val="008A1A8F"/>
    <w:rsid w:val="008B600F"/>
    <w:rsid w:val="008B735D"/>
    <w:rsid w:val="008C2D0A"/>
    <w:rsid w:val="008C783B"/>
    <w:rsid w:val="008F4954"/>
    <w:rsid w:val="008F6939"/>
    <w:rsid w:val="0090526C"/>
    <w:rsid w:val="00911253"/>
    <w:rsid w:val="00950C5A"/>
    <w:rsid w:val="00956FFF"/>
    <w:rsid w:val="00965112"/>
    <w:rsid w:val="00967B9F"/>
    <w:rsid w:val="00993937"/>
    <w:rsid w:val="00996C8F"/>
    <w:rsid w:val="00997CD7"/>
    <w:rsid w:val="009A5A62"/>
    <w:rsid w:val="009B615F"/>
    <w:rsid w:val="009C7CC7"/>
    <w:rsid w:val="009D3173"/>
    <w:rsid w:val="009E2BFF"/>
    <w:rsid w:val="00A135A4"/>
    <w:rsid w:val="00A304EA"/>
    <w:rsid w:val="00A307BC"/>
    <w:rsid w:val="00A315DD"/>
    <w:rsid w:val="00A84AF9"/>
    <w:rsid w:val="00AA205D"/>
    <w:rsid w:val="00AA76DF"/>
    <w:rsid w:val="00AB21E8"/>
    <w:rsid w:val="00AB77CF"/>
    <w:rsid w:val="00AE3C3D"/>
    <w:rsid w:val="00AF5313"/>
    <w:rsid w:val="00B10066"/>
    <w:rsid w:val="00B13346"/>
    <w:rsid w:val="00B17BD5"/>
    <w:rsid w:val="00B21D22"/>
    <w:rsid w:val="00B35E59"/>
    <w:rsid w:val="00B3746E"/>
    <w:rsid w:val="00B423A5"/>
    <w:rsid w:val="00B473E0"/>
    <w:rsid w:val="00B5009A"/>
    <w:rsid w:val="00B5452B"/>
    <w:rsid w:val="00B5539D"/>
    <w:rsid w:val="00B666AF"/>
    <w:rsid w:val="00B71901"/>
    <w:rsid w:val="00B81018"/>
    <w:rsid w:val="00B91A5E"/>
    <w:rsid w:val="00BD30F9"/>
    <w:rsid w:val="00BE1752"/>
    <w:rsid w:val="00BF0B0B"/>
    <w:rsid w:val="00C113D1"/>
    <w:rsid w:val="00C555B8"/>
    <w:rsid w:val="00C65144"/>
    <w:rsid w:val="00C80C1C"/>
    <w:rsid w:val="00C848AB"/>
    <w:rsid w:val="00C90554"/>
    <w:rsid w:val="00CD474D"/>
    <w:rsid w:val="00CF1F31"/>
    <w:rsid w:val="00D0536A"/>
    <w:rsid w:val="00D3693A"/>
    <w:rsid w:val="00D431F4"/>
    <w:rsid w:val="00D83ED8"/>
    <w:rsid w:val="00D8516C"/>
    <w:rsid w:val="00D96843"/>
    <w:rsid w:val="00DA2CCD"/>
    <w:rsid w:val="00DB70BA"/>
    <w:rsid w:val="00DC757E"/>
    <w:rsid w:val="00DE2841"/>
    <w:rsid w:val="00DE68A8"/>
    <w:rsid w:val="00DF7350"/>
    <w:rsid w:val="00DF7651"/>
    <w:rsid w:val="00E026FE"/>
    <w:rsid w:val="00E215E8"/>
    <w:rsid w:val="00E27253"/>
    <w:rsid w:val="00E44DF6"/>
    <w:rsid w:val="00E5216E"/>
    <w:rsid w:val="00E54FD9"/>
    <w:rsid w:val="00E57F35"/>
    <w:rsid w:val="00E607CC"/>
    <w:rsid w:val="00E617AF"/>
    <w:rsid w:val="00E9728F"/>
    <w:rsid w:val="00ED3DAC"/>
    <w:rsid w:val="00ED5865"/>
    <w:rsid w:val="00EF2485"/>
    <w:rsid w:val="00F02CAA"/>
    <w:rsid w:val="00F642F8"/>
    <w:rsid w:val="00F66A5A"/>
    <w:rsid w:val="00F76CEA"/>
    <w:rsid w:val="00F92106"/>
    <w:rsid w:val="00F960F3"/>
    <w:rsid w:val="00FA6FAE"/>
    <w:rsid w:val="00FB03B3"/>
    <w:rsid w:val="00FB4217"/>
    <w:rsid w:val="00FC5FB9"/>
    <w:rsid w:val="00FF5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D19F"/>
  <w15:docId w15:val="{6F7F5E0E-EF4E-4B79-92F1-7F1E4301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oderntabulka">
    <w:name w:val="Table Contemporary"/>
    <w:basedOn w:val="Normlntabulka"/>
    <w:rsid w:val="004E3F5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Zhlav">
    <w:name w:val="header"/>
    <w:basedOn w:val="Normln"/>
    <w:link w:val="ZhlavChar"/>
    <w:uiPriority w:val="99"/>
    <w:unhideWhenUsed/>
    <w:rsid w:val="004E3F5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4E3F5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E3F5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4E3F5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E3F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3F5F"/>
    <w:rPr>
      <w:rFonts w:ascii="Tahoma" w:hAnsi="Tahoma" w:cs="Tahoma"/>
      <w:sz w:val="16"/>
      <w:szCs w:val="16"/>
    </w:rPr>
  </w:style>
  <w:style w:type="paragraph" w:styleId="Odstavecseseznamem">
    <w:name w:val="List Paragraph"/>
    <w:basedOn w:val="Normln"/>
    <w:uiPriority w:val="34"/>
    <w:qFormat/>
    <w:rsid w:val="00BD30F9"/>
    <w:pPr>
      <w:ind w:left="720"/>
      <w:contextualSpacing/>
    </w:pPr>
  </w:style>
  <w:style w:type="character" w:styleId="Odkaznakoment">
    <w:name w:val="annotation reference"/>
    <w:basedOn w:val="Standardnpsmoodstavce"/>
    <w:uiPriority w:val="99"/>
    <w:semiHidden/>
    <w:unhideWhenUsed/>
    <w:rsid w:val="008968D8"/>
    <w:rPr>
      <w:sz w:val="16"/>
      <w:szCs w:val="16"/>
    </w:rPr>
  </w:style>
  <w:style w:type="paragraph" w:styleId="Textkomente">
    <w:name w:val="annotation text"/>
    <w:basedOn w:val="Normln"/>
    <w:link w:val="TextkomenteChar"/>
    <w:uiPriority w:val="99"/>
    <w:unhideWhenUsed/>
    <w:rsid w:val="008968D8"/>
    <w:pPr>
      <w:spacing w:line="240" w:lineRule="auto"/>
    </w:pPr>
    <w:rPr>
      <w:sz w:val="20"/>
      <w:szCs w:val="20"/>
    </w:rPr>
  </w:style>
  <w:style w:type="character" w:customStyle="1" w:styleId="TextkomenteChar">
    <w:name w:val="Text komentáře Char"/>
    <w:basedOn w:val="Standardnpsmoodstavce"/>
    <w:link w:val="Textkomente"/>
    <w:uiPriority w:val="99"/>
    <w:rsid w:val="008968D8"/>
    <w:rPr>
      <w:sz w:val="20"/>
      <w:szCs w:val="20"/>
    </w:rPr>
  </w:style>
  <w:style w:type="paragraph" w:styleId="Pedmtkomente">
    <w:name w:val="annotation subject"/>
    <w:basedOn w:val="Textkomente"/>
    <w:next w:val="Textkomente"/>
    <w:link w:val="PedmtkomenteChar"/>
    <w:uiPriority w:val="99"/>
    <w:semiHidden/>
    <w:unhideWhenUsed/>
    <w:rsid w:val="008968D8"/>
    <w:rPr>
      <w:b/>
      <w:bCs/>
    </w:rPr>
  </w:style>
  <w:style w:type="character" w:customStyle="1" w:styleId="PedmtkomenteChar">
    <w:name w:val="Předmět komentáře Char"/>
    <w:basedOn w:val="TextkomenteChar"/>
    <w:link w:val="Pedmtkomente"/>
    <w:uiPriority w:val="99"/>
    <w:semiHidden/>
    <w:rsid w:val="008968D8"/>
    <w:rPr>
      <w:b/>
      <w:bCs/>
      <w:sz w:val="20"/>
      <w:szCs w:val="20"/>
    </w:rPr>
  </w:style>
  <w:style w:type="paragraph" w:styleId="Revize">
    <w:name w:val="Revision"/>
    <w:hidden/>
    <w:uiPriority w:val="99"/>
    <w:semiHidden/>
    <w:rsid w:val="00950C5A"/>
    <w:pPr>
      <w:spacing w:after="0" w:line="240" w:lineRule="auto"/>
    </w:pPr>
  </w:style>
  <w:style w:type="paragraph" w:customStyle="1" w:styleId="l21">
    <w:name w:val="l21"/>
    <w:basedOn w:val="Normln"/>
    <w:rsid w:val="00D3693A"/>
    <w:pPr>
      <w:spacing w:before="144" w:after="144" w:line="240" w:lineRule="auto"/>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72744">
      <w:bodyDiv w:val="1"/>
      <w:marLeft w:val="0"/>
      <w:marRight w:val="0"/>
      <w:marTop w:val="0"/>
      <w:marBottom w:val="0"/>
      <w:divBdr>
        <w:top w:val="none" w:sz="0" w:space="0" w:color="auto"/>
        <w:left w:val="none" w:sz="0" w:space="0" w:color="auto"/>
        <w:bottom w:val="none" w:sz="0" w:space="0" w:color="auto"/>
        <w:right w:val="none" w:sz="0" w:space="0" w:color="auto"/>
      </w:divBdr>
    </w:div>
    <w:div w:id="1410805598">
      <w:bodyDiv w:val="1"/>
      <w:marLeft w:val="0"/>
      <w:marRight w:val="0"/>
      <w:marTop w:val="0"/>
      <w:marBottom w:val="0"/>
      <w:divBdr>
        <w:top w:val="none" w:sz="0" w:space="0" w:color="auto"/>
        <w:left w:val="none" w:sz="0" w:space="0" w:color="auto"/>
        <w:bottom w:val="none" w:sz="0" w:space="0" w:color="auto"/>
        <w:right w:val="none" w:sz="0" w:space="0" w:color="auto"/>
      </w:divBdr>
      <w:divsChild>
        <w:div w:id="30497273">
          <w:marLeft w:val="0"/>
          <w:marRight w:val="0"/>
          <w:marTop w:val="0"/>
          <w:marBottom w:val="0"/>
          <w:divBdr>
            <w:top w:val="none" w:sz="0" w:space="0" w:color="auto"/>
            <w:left w:val="none" w:sz="0" w:space="0" w:color="auto"/>
            <w:bottom w:val="none" w:sz="0" w:space="0" w:color="auto"/>
            <w:right w:val="none" w:sz="0" w:space="0" w:color="auto"/>
          </w:divBdr>
          <w:divsChild>
            <w:div w:id="1276211248">
              <w:marLeft w:val="0"/>
              <w:marRight w:val="0"/>
              <w:marTop w:val="0"/>
              <w:marBottom w:val="0"/>
              <w:divBdr>
                <w:top w:val="none" w:sz="0" w:space="0" w:color="auto"/>
                <w:left w:val="none" w:sz="0" w:space="0" w:color="auto"/>
                <w:bottom w:val="none" w:sz="0" w:space="0" w:color="auto"/>
                <w:right w:val="none" w:sz="0" w:space="0" w:color="auto"/>
              </w:divBdr>
              <w:divsChild>
                <w:div w:id="1399211935">
                  <w:marLeft w:val="0"/>
                  <w:marRight w:val="0"/>
                  <w:marTop w:val="100"/>
                  <w:marBottom w:val="100"/>
                  <w:divBdr>
                    <w:top w:val="none" w:sz="0" w:space="0" w:color="auto"/>
                    <w:left w:val="none" w:sz="0" w:space="0" w:color="auto"/>
                    <w:bottom w:val="none" w:sz="0" w:space="0" w:color="auto"/>
                    <w:right w:val="none" w:sz="0" w:space="0" w:color="auto"/>
                  </w:divBdr>
                  <w:divsChild>
                    <w:div w:id="66148921">
                      <w:marLeft w:val="0"/>
                      <w:marRight w:val="0"/>
                      <w:marTop w:val="0"/>
                      <w:marBottom w:val="0"/>
                      <w:divBdr>
                        <w:top w:val="none" w:sz="0" w:space="0" w:color="auto"/>
                        <w:left w:val="none" w:sz="0" w:space="0" w:color="auto"/>
                        <w:bottom w:val="none" w:sz="0" w:space="0" w:color="auto"/>
                        <w:right w:val="none" w:sz="0" w:space="0" w:color="auto"/>
                      </w:divBdr>
                      <w:divsChild>
                        <w:div w:id="1373579470">
                          <w:marLeft w:val="0"/>
                          <w:marRight w:val="0"/>
                          <w:marTop w:val="0"/>
                          <w:marBottom w:val="0"/>
                          <w:divBdr>
                            <w:top w:val="none" w:sz="0" w:space="0" w:color="auto"/>
                            <w:left w:val="none" w:sz="0" w:space="0" w:color="auto"/>
                            <w:bottom w:val="none" w:sz="0" w:space="0" w:color="auto"/>
                            <w:right w:val="none" w:sz="0" w:space="0" w:color="auto"/>
                          </w:divBdr>
                          <w:divsChild>
                            <w:div w:id="13961260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Úhradový dodatek pro ambulantní stomatologické hrazené služby</V_x011b_c>
    <Platnost_x0020_do xmlns="081b771e-1c88-4fba-bfa8-6ea13399dd86" xsi:nil="true"/>
    <Druh_x0020_dokumentu xmlns="081b771e-1c88-4fba-bfa8-6ea13399dd86">Příloha č. 02</Druh_x0020_dokumentu>
    <Oblast_x0020__x00fa_pravy xmlns="081b771e-1c88-4fba-bfa8-6ea13399dd86">Zdravotní péče</Oblast_x0020__x00fa_pravy>
    <Stav_x0020_p_x0159_edpis_x016f_ xmlns="081b771e-1c88-4fba-bfa8-6ea13399dd86">Platné</Stav_x0020_p_x0159_edpis_x016f_>
    <_x010c__x00ed_slo_x0020_MP xmlns="081b771e-1c88-4fba-bfa8-6ea13399dd86">18</_x010c__x00ed_slo_x0020_MP>
    <Rok xmlns="081b771e-1c88-4fba-bfa8-6ea13399dd86">2021</Rok>
    <Dot_x010d_en_x00fd__x0020_P_x0158_ xmlns="081b771e-1c88-4fba-bfa8-6ea13399dd86">PŘ 22/2019</Dot_x010d_en_x00fd__x0020_P_x0158_>
    <Zaji_x0161__x0165_uje_x0020__x00fa_tvar xmlns="081b771e-1c88-4fba-bfa8-6ea13399dd86" xsi:nil="true"/>
    <_x00da__x010d_innost_x0020_od xmlns="081b771e-1c88-4fba-bfa8-6ea13399dd86">2021-02-23T23:00:00+00:00</_x00da__x010d_innost_x0020_od>
    <N_x00e1_zev_x0020_MP xmlns="081b771e-1c88-4fba-bfa8-6ea13399dd86">Mechanismus úhrady v segmentu stomatologie pro rok 2021 </N_x00e1_zev_x0020_MP>
    <P_x0159_edkl_x00e1_d_x00e1_ xmlns="081b771e-1c88-4fba-bfa8-6ea13399dd86" xsi:nil="true"/>
    <MP xmlns="081b771e-1c88-4fba-bfa8-6ea13399dd86">náměstka pro zdravotní péči</M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9" ma:contentTypeDescription="Vytvořit nový dokument" ma:contentTypeScope="" ma:versionID="35734f843a698406b5a204de33e0464d">
  <xsd:schema xmlns:xsd="http://www.w3.org/2001/XMLSchema" xmlns:xs="http://www.w3.org/2001/XMLSchema" xmlns:p="http://schemas.microsoft.com/office/2006/metadata/properties" xmlns:ns2="081b771e-1c88-4fba-bfa8-6ea13399dd86" xmlns:ns3="189c7478-f36e-4d06-b026-5479ab3e2b44" targetNamespace="http://schemas.microsoft.com/office/2006/metadata/properties" ma:root="true" ma:fieldsID="2e960650671f27300960e57731aa8f17" ns2:_="" ns3:_="">
    <xsd:import namespace="081b771e-1c88-4fba-bfa8-6ea13399dd86"/>
    <xsd:import namespace="189c7478-f36e-4d06-b026-5479ab3e2b44"/>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23"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6736D-31A2-4F90-A3F3-DBBC961356F8}">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F9542B70-3C31-4F0C-A28A-CD3BF64EB8F5}">
  <ds:schemaRefs>
    <ds:schemaRef ds:uri="http://schemas.microsoft.com/sharepoint/v3/contenttype/forms"/>
  </ds:schemaRefs>
</ds:datastoreItem>
</file>

<file path=customXml/itemProps3.xml><?xml version="1.0" encoding="utf-8"?>
<ds:datastoreItem xmlns:ds="http://schemas.openxmlformats.org/officeDocument/2006/customXml" ds:itemID="{86BCEFA5-FD5B-4A11-93A4-016791BEF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CC06C-AFE8-4B77-A96E-F46BB28C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1804</Words>
  <Characters>10648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Ludmila Macháčková</dc:creator>
  <cp:lastModifiedBy>Macháčková Ludmila MUDr. (VZP ČR Ústředí)</cp:lastModifiedBy>
  <cp:revision>2</cp:revision>
  <cp:lastPrinted>2021-02-23T08:41:00Z</cp:lastPrinted>
  <dcterms:created xsi:type="dcterms:W3CDTF">2021-12-22T10:36:00Z</dcterms:created>
  <dcterms:modified xsi:type="dcterms:W3CDTF">2021-12-22T10:36:00Z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