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4CE3" w14:textId="77777777" w:rsidR="004C1152" w:rsidRDefault="00862FC5">
      <w:pPr>
        <w:pStyle w:val="Zkladntext"/>
        <w:ind w:right="-2"/>
        <w:jc w:val="left"/>
        <w:rPr>
          <w:rFonts w:ascii="Arial" w:hAnsi="Arial"/>
          <w:color w:val="auto"/>
          <w:sz w:val="18"/>
        </w:rPr>
      </w:pPr>
      <w:r>
        <w:rPr>
          <w:rFonts w:ascii="Arial" w:hAnsi="Arial"/>
          <w:noProof/>
          <w:sz w:val="16"/>
        </w:rPr>
        <w:drawing>
          <wp:anchor distT="0" distB="0" distL="114300" distR="114300" simplePos="0" relativeHeight="251658240" behindDoc="0" locked="0" layoutInCell="1" allowOverlap="1" wp14:anchorId="65184D3E" wp14:editId="65184D3F">
            <wp:simplePos x="0" y="0"/>
            <wp:positionH relativeFrom="column">
              <wp:posOffset>-3810</wp:posOffset>
            </wp:positionH>
            <wp:positionV relativeFrom="paragraph">
              <wp:posOffset>71120</wp:posOffset>
            </wp:positionV>
            <wp:extent cx="2705100" cy="428625"/>
            <wp:effectExtent l="0" t="0" r="0" b="9525"/>
            <wp:wrapNone/>
            <wp:docPr id="2" name="Obrázek 2"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_hl-p_7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left w:val="single" w:sz="18" w:space="0" w:color="auto"/>
          <w:bottom w:val="single" w:sz="18" w:space="0" w:color="auto"/>
          <w:right w:val="single" w:sz="18" w:space="0" w:color="auto"/>
        </w:tblBorders>
        <w:tblLayout w:type="fixed"/>
        <w:tblCellMar>
          <w:left w:w="42" w:type="dxa"/>
          <w:right w:w="42" w:type="dxa"/>
        </w:tblCellMar>
        <w:tblLook w:val="0000" w:firstRow="0" w:lastRow="0" w:firstColumn="0" w:lastColumn="0" w:noHBand="0" w:noVBand="0"/>
      </w:tblPr>
      <w:tblGrid>
        <w:gridCol w:w="3119"/>
        <w:gridCol w:w="2551"/>
        <w:gridCol w:w="5103"/>
      </w:tblGrid>
      <w:tr w:rsidR="004C1152" w14:paraId="65184CE5" w14:textId="77777777">
        <w:trPr>
          <w:trHeight w:val="418"/>
        </w:trPr>
        <w:tc>
          <w:tcPr>
            <w:tcW w:w="10773" w:type="dxa"/>
            <w:gridSpan w:val="3"/>
            <w:tcBorders>
              <w:top w:val="single" w:sz="18" w:space="0" w:color="auto"/>
              <w:left w:val="single" w:sz="18" w:space="0" w:color="auto"/>
              <w:bottom w:val="nil"/>
              <w:right w:val="single" w:sz="18" w:space="0" w:color="auto"/>
            </w:tcBorders>
          </w:tcPr>
          <w:p w14:paraId="65184CE4" w14:textId="77777777" w:rsidR="004C1152" w:rsidRDefault="004C1152">
            <w:pPr>
              <w:pStyle w:val="Zkladntext"/>
              <w:ind w:right="-2"/>
              <w:rPr>
                <w:rFonts w:ascii="Arial" w:hAnsi="Arial"/>
                <w:b/>
              </w:rPr>
            </w:pPr>
            <w:r>
              <w:rPr>
                <w:rFonts w:ascii="Arial" w:hAnsi="Arial"/>
                <w:b/>
              </w:rPr>
              <w:t xml:space="preserve">Poskytovatel </w:t>
            </w:r>
            <w:r>
              <w:rPr>
                <w:rFonts w:ascii="Arial" w:hAnsi="Arial"/>
                <w:vertAlign w:val="subscript"/>
              </w:rPr>
              <w:t>2</w:t>
            </w:r>
            <w:proofErr w:type="gramStart"/>
            <w:r>
              <w:rPr>
                <w:rFonts w:ascii="Arial" w:hAnsi="Arial"/>
                <w:vertAlign w:val="subscript"/>
              </w:rPr>
              <w:t>)</w:t>
            </w:r>
            <w:r>
              <w:rPr>
                <w:rFonts w:ascii="Arial" w:hAnsi="Arial"/>
              </w:rPr>
              <w:t xml:space="preserve"> </w:t>
            </w:r>
            <w:r>
              <w:rPr>
                <w:rFonts w:ascii="Arial" w:hAnsi="Arial"/>
                <w:b/>
              </w:rPr>
              <w:t>:</w:t>
            </w:r>
            <w:proofErr w:type="gramEnd"/>
            <w:r>
              <w:rPr>
                <w:rFonts w:ascii="Arial" w:hAnsi="Arial"/>
                <w:b/>
              </w:rPr>
              <w:t xml:space="preserve">   </w:t>
            </w:r>
            <w:r>
              <w:fldChar w:fldCharType="begin"/>
            </w:r>
            <w:r>
              <w:instrText xml:space="preserve"> </w:instrText>
            </w:r>
            <w:r>
              <w:fldChar w:fldCharType="end"/>
            </w:r>
            <w:r>
              <w:rPr>
                <w:rFonts w:ascii="Arial" w:hAnsi="Arial"/>
              </w:rPr>
              <w:t xml:space="preserve"> </w:t>
            </w:r>
            <w:r>
              <w:fldChar w:fldCharType="begin"/>
            </w:r>
            <w:r>
              <w:instrText xml:space="preserve"> </w:instrText>
            </w:r>
            <w:r>
              <w:fldChar w:fldCharType="end"/>
            </w:r>
            <w:r>
              <w:rPr>
                <w:rFonts w:ascii="Arial" w:hAnsi="Arial"/>
              </w:rPr>
              <w:t xml:space="preserve"> </w:t>
            </w:r>
            <w:r>
              <w:fldChar w:fldCharType="begin"/>
            </w:r>
            <w:r>
              <w:instrText xml:space="preserve"> </w:instrText>
            </w:r>
            <w:r>
              <w:fldChar w:fldCharType="end"/>
            </w:r>
          </w:p>
        </w:tc>
      </w:tr>
      <w:tr w:rsidR="004C1152" w14:paraId="65184CE9" w14:textId="77777777">
        <w:trPr>
          <w:trHeight w:hRule="exact" w:val="360"/>
        </w:trPr>
        <w:tc>
          <w:tcPr>
            <w:tcW w:w="3119" w:type="dxa"/>
            <w:tcBorders>
              <w:top w:val="single" w:sz="18" w:space="0" w:color="auto"/>
              <w:left w:val="single" w:sz="18" w:space="0" w:color="auto"/>
              <w:bottom w:val="single" w:sz="18" w:space="0" w:color="auto"/>
              <w:right w:val="nil"/>
            </w:tcBorders>
          </w:tcPr>
          <w:p w14:paraId="65184CE6" w14:textId="77777777" w:rsidR="004C1152" w:rsidRDefault="004C1152">
            <w:pPr>
              <w:pStyle w:val="Texttabulky"/>
              <w:ind w:right="-2"/>
              <w:rPr>
                <w:rFonts w:ascii="Arial" w:hAnsi="Arial"/>
                <w:spacing w:val="-20"/>
              </w:rPr>
            </w:pPr>
            <w:r>
              <w:rPr>
                <w:rFonts w:ascii="Arial" w:hAnsi="Arial"/>
                <w:spacing w:val="-20"/>
              </w:rPr>
              <w:t xml:space="preserve"> </w:t>
            </w:r>
            <w:proofErr w:type="gramStart"/>
            <w:r>
              <w:rPr>
                <w:rFonts w:ascii="Arial" w:hAnsi="Arial"/>
                <w:b/>
                <w:spacing w:val="-20"/>
              </w:rPr>
              <w:t xml:space="preserve">IČ:   </w:t>
            </w:r>
            <w:proofErr w:type="gramEnd"/>
            <w:r>
              <w:rPr>
                <w:rFonts w:ascii="Arial" w:hAnsi="Arial"/>
                <w:b/>
                <w:spacing w:val="-20"/>
              </w:rPr>
              <w:t xml:space="preserve"> </w:t>
            </w:r>
            <w:r>
              <w:fldChar w:fldCharType="begin"/>
            </w:r>
            <w:r>
              <w:instrText xml:space="preserve"> </w:instrText>
            </w:r>
            <w:r>
              <w:fldChar w:fldCharType="end"/>
            </w:r>
          </w:p>
        </w:tc>
        <w:tc>
          <w:tcPr>
            <w:tcW w:w="2551" w:type="dxa"/>
            <w:tcBorders>
              <w:top w:val="single" w:sz="18" w:space="0" w:color="auto"/>
              <w:left w:val="single" w:sz="18" w:space="0" w:color="auto"/>
              <w:bottom w:val="dashSmallGap" w:sz="4" w:space="0" w:color="auto"/>
              <w:right w:val="nil"/>
            </w:tcBorders>
          </w:tcPr>
          <w:p w14:paraId="65184CE7" w14:textId="77777777" w:rsidR="004C1152" w:rsidRDefault="004C1152">
            <w:pPr>
              <w:pStyle w:val="Texttabulky"/>
              <w:ind w:right="-2"/>
              <w:rPr>
                <w:rFonts w:ascii="Arial" w:hAnsi="Arial"/>
                <w:sz w:val="20"/>
              </w:rPr>
            </w:pPr>
            <w:r>
              <w:rPr>
                <w:rFonts w:ascii="Arial" w:hAnsi="Arial"/>
                <w:sz w:val="20"/>
              </w:rPr>
              <w:t>specifikace</w:t>
            </w:r>
            <w:r>
              <w:rPr>
                <w:rFonts w:ascii="Arial" w:hAnsi="Arial"/>
                <w:sz w:val="20"/>
                <w:vertAlign w:val="superscript"/>
              </w:rPr>
              <w:t xml:space="preserve"> </w:t>
            </w:r>
            <w:r>
              <w:rPr>
                <w:rFonts w:ascii="Arial" w:hAnsi="Arial"/>
                <w:sz w:val="20"/>
                <w:vertAlign w:val="subscript"/>
              </w:rPr>
              <w:t>1</w:t>
            </w:r>
            <w:proofErr w:type="gramStart"/>
            <w:r>
              <w:rPr>
                <w:rFonts w:ascii="Arial" w:hAnsi="Arial"/>
                <w:sz w:val="20"/>
                <w:vertAlign w:val="subscript"/>
              </w:rPr>
              <w:t>)</w:t>
            </w:r>
            <w:r>
              <w:rPr>
                <w:rFonts w:ascii="Arial" w:hAnsi="Arial"/>
                <w:sz w:val="20"/>
              </w:rPr>
              <w:t xml:space="preserve"> :</w:t>
            </w:r>
            <w:proofErr w:type="gramEnd"/>
            <w:r>
              <w:rPr>
                <w:rFonts w:ascii="Arial" w:hAnsi="Arial"/>
                <w:sz w:val="20"/>
              </w:rPr>
              <w:t xml:space="preserve">    </w:t>
            </w:r>
            <w:r>
              <w:fldChar w:fldCharType="begin"/>
            </w:r>
            <w:r>
              <w:instrText xml:space="preserve"> </w:instrText>
            </w:r>
            <w:r>
              <w:fldChar w:fldCharType="end"/>
            </w:r>
          </w:p>
        </w:tc>
        <w:tc>
          <w:tcPr>
            <w:tcW w:w="5103" w:type="dxa"/>
            <w:tcBorders>
              <w:top w:val="single" w:sz="18" w:space="0" w:color="auto"/>
              <w:left w:val="dashSmallGap" w:sz="4" w:space="0" w:color="auto"/>
              <w:bottom w:val="dashSmallGap" w:sz="4" w:space="0" w:color="auto"/>
              <w:right w:val="single" w:sz="18" w:space="0" w:color="auto"/>
            </w:tcBorders>
          </w:tcPr>
          <w:p w14:paraId="65184CE8" w14:textId="77777777" w:rsidR="004C1152" w:rsidRDefault="004C1152">
            <w:pPr>
              <w:pStyle w:val="Texttabulky"/>
              <w:ind w:right="-2"/>
              <w:rPr>
                <w:rFonts w:ascii="Arial" w:hAnsi="Arial"/>
                <w:sz w:val="20"/>
              </w:rPr>
            </w:pPr>
            <w:r>
              <w:rPr>
                <w:rFonts w:ascii="Arial" w:hAnsi="Arial"/>
                <w:b/>
                <w:sz w:val="20"/>
              </w:rPr>
              <w:t xml:space="preserve">IČZ   </w:t>
            </w:r>
            <w:r>
              <w:rPr>
                <w:rFonts w:ascii="Arial" w:hAnsi="Arial"/>
                <w:sz w:val="20"/>
                <w:vertAlign w:val="subscript"/>
              </w:rPr>
              <w:t>3)</w:t>
            </w:r>
            <w:r>
              <w:rPr>
                <w:rFonts w:ascii="Arial" w:hAnsi="Arial"/>
                <w:b/>
                <w:sz w:val="20"/>
              </w:rPr>
              <w:t xml:space="preserve">:  </w:t>
            </w:r>
            <w:r>
              <w:fldChar w:fldCharType="begin"/>
            </w:r>
            <w:r>
              <w:instrText xml:space="preserve"> </w:instrText>
            </w:r>
            <w:r>
              <w:fldChar w:fldCharType="end"/>
            </w:r>
          </w:p>
        </w:tc>
      </w:tr>
      <w:tr w:rsidR="004C1152" w14:paraId="65184CEC" w14:textId="77777777">
        <w:trPr>
          <w:cantSplit/>
          <w:trHeight w:hRule="exact" w:val="360"/>
        </w:trPr>
        <w:tc>
          <w:tcPr>
            <w:tcW w:w="5670" w:type="dxa"/>
            <w:gridSpan w:val="2"/>
            <w:vMerge w:val="restart"/>
            <w:tcBorders>
              <w:top w:val="nil"/>
              <w:left w:val="single" w:sz="18" w:space="0" w:color="auto"/>
              <w:bottom w:val="nil"/>
              <w:right w:val="nil"/>
            </w:tcBorders>
          </w:tcPr>
          <w:p w14:paraId="65184CEA" w14:textId="77777777" w:rsidR="004C1152" w:rsidRDefault="004C1152">
            <w:pPr>
              <w:pStyle w:val="Zkladntext"/>
              <w:ind w:right="-2"/>
              <w:rPr>
                <w:rFonts w:ascii="Arial" w:hAnsi="Arial"/>
                <w:b/>
              </w:rPr>
            </w:pPr>
            <w:r>
              <w:rPr>
                <w:rFonts w:ascii="Arial" w:hAnsi="Arial"/>
              </w:rPr>
              <w:t xml:space="preserve"> </w:t>
            </w:r>
            <w:proofErr w:type="gramStart"/>
            <w:r>
              <w:rPr>
                <w:rFonts w:ascii="Arial" w:hAnsi="Arial"/>
                <w:b/>
              </w:rPr>
              <w:t xml:space="preserve">Sídlo:   </w:t>
            </w:r>
            <w:proofErr w:type="gramEnd"/>
            <w:r>
              <w:rPr>
                <w:rFonts w:ascii="Arial" w:hAnsi="Arial"/>
                <w:b/>
              </w:rPr>
              <w:t xml:space="preserve">  </w:t>
            </w:r>
            <w:r>
              <w:fldChar w:fldCharType="begin"/>
            </w:r>
            <w:r>
              <w:instrText xml:space="preserve"> </w:instrText>
            </w:r>
            <w:r>
              <w:fldChar w:fldCharType="end"/>
            </w:r>
          </w:p>
        </w:tc>
        <w:tc>
          <w:tcPr>
            <w:tcW w:w="5103" w:type="dxa"/>
            <w:tcBorders>
              <w:top w:val="nil"/>
              <w:left w:val="dashSmallGap" w:sz="4" w:space="0" w:color="auto"/>
              <w:bottom w:val="single" w:sz="18" w:space="0" w:color="auto"/>
              <w:right w:val="single" w:sz="18" w:space="0" w:color="auto"/>
            </w:tcBorders>
          </w:tcPr>
          <w:p w14:paraId="65184CEB" w14:textId="77777777" w:rsidR="004C1152" w:rsidRDefault="004C1152">
            <w:pPr>
              <w:pStyle w:val="Texttabulky"/>
              <w:ind w:right="-2"/>
              <w:rPr>
                <w:rFonts w:ascii="Arial" w:hAnsi="Arial"/>
                <w:b/>
                <w:sz w:val="20"/>
              </w:rPr>
            </w:pPr>
            <w:r>
              <w:rPr>
                <w:rFonts w:ascii="Arial" w:hAnsi="Arial"/>
                <w:b/>
                <w:sz w:val="20"/>
              </w:rPr>
              <w:t xml:space="preserve">IČP  </w:t>
            </w:r>
            <w:r>
              <w:rPr>
                <w:rFonts w:ascii="Arial" w:hAnsi="Arial"/>
                <w:sz w:val="20"/>
              </w:rPr>
              <w:t xml:space="preserve"> </w:t>
            </w:r>
            <w:r>
              <w:rPr>
                <w:rFonts w:ascii="Arial" w:hAnsi="Arial"/>
                <w:sz w:val="20"/>
                <w:vertAlign w:val="subscript"/>
              </w:rPr>
              <w:t>3)</w:t>
            </w:r>
            <w:r>
              <w:rPr>
                <w:rFonts w:ascii="Arial" w:hAnsi="Arial"/>
                <w:b/>
                <w:sz w:val="20"/>
              </w:rPr>
              <w:t>:</w:t>
            </w:r>
          </w:p>
        </w:tc>
      </w:tr>
      <w:tr w:rsidR="004C1152" w14:paraId="65184CEF" w14:textId="77777777">
        <w:trPr>
          <w:cantSplit/>
          <w:trHeight w:val="395"/>
        </w:trPr>
        <w:tc>
          <w:tcPr>
            <w:tcW w:w="5670" w:type="dxa"/>
            <w:gridSpan w:val="2"/>
            <w:vMerge/>
            <w:tcBorders>
              <w:top w:val="nil"/>
              <w:left w:val="single" w:sz="18" w:space="0" w:color="auto"/>
              <w:bottom w:val="nil"/>
              <w:right w:val="nil"/>
            </w:tcBorders>
            <w:vAlign w:val="center"/>
          </w:tcPr>
          <w:p w14:paraId="65184CED" w14:textId="77777777" w:rsidR="004C1152" w:rsidRDefault="004C1152">
            <w:pPr>
              <w:rPr>
                <w:rFonts w:ascii="Arial" w:hAnsi="Arial"/>
                <w:b/>
                <w:color w:val="000000"/>
              </w:rPr>
            </w:pPr>
          </w:p>
        </w:tc>
        <w:tc>
          <w:tcPr>
            <w:tcW w:w="5103" w:type="dxa"/>
            <w:tcBorders>
              <w:top w:val="single" w:sz="18" w:space="0" w:color="auto"/>
              <w:left w:val="single" w:sz="18" w:space="0" w:color="auto"/>
              <w:bottom w:val="nil"/>
              <w:right w:val="single" w:sz="18" w:space="0" w:color="auto"/>
            </w:tcBorders>
          </w:tcPr>
          <w:p w14:paraId="65184CEE" w14:textId="77777777" w:rsidR="004C1152" w:rsidRDefault="004C1152">
            <w:pPr>
              <w:pStyle w:val="Texttabulky"/>
              <w:ind w:right="-2"/>
              <w:rPr>
                <w:rFonts w:ascii="Arial" w:hAnsi="Arial"/>
                <w:sz w:val="20"/>
              </w:rPr>
            </w:pPr>
            <w:proofErr w:type="gramStart"/>
            <w:r>
              <w:rPr>
                <w:rFonts w:ascii="Arial" w:hAnsi="Arial"/>
                <w:b/>
                <w:sz w:val="20"/>
              </w:rPr>
              <w:t>PSČ :</w:t>
            </w:r>
            <w:proofErr w:type="gramEnd"/>
            <w:r>
              <w:rPr>
                <w:rFonts w:ascii="Arial" w:hAnsi="Arial"/>
                <w:b/>
                <w:sz w:val="20"/>
              </w:rPr>
              <w:t xml:space="preserve">   </w:t>
            </w:r>
            <w:r>
              <w:fldChar w:fldCharType="begin"/>
            </w:r>
            <w:r>
              <w:instrText xml:space="preserve"> </w:instrText>
            </w:r>
            <w:r>
              <w:fldChar w:fldCharType="end"/>
            </w:r>
          </w:p>
        </w:tc>
      </w:tr>
      <w:tr w:rsidR="004C1152" w14:paraId="65184CF1" w14:textId="77777777">
        <w:trPr>
          <w:trHeight w:val="215"/>
        </w:trPr>
        <w:tc>
          <w:tcPr>
            <w:tcW w:w="10773" w:type="dxa"/>
            <w:gridSpan w:val="3"/>
            <w:tcBorders>
              <w:top w:val="single" w:sz="18" w:space="0" w:color="auto"/>
              <w:left w:val="single" w:sz="18" w:space="0" w:color="auto"/>
              <w:bottom w:val="single" w:sz="18" w:space="0" w:color="auto"/>
              <w:right w:val="single" w:sz="18" w:space="0" w:color="auto"/>
            </w:tcBorders>
          </w:tcPr>
          <w:p w14:paraId="65184CF0" w14:textId="77777777" w:rsidR="004C1152" w:rsidRDefault="004C1152" w:rsidP="00BE71D6">
            <w:pPr>
              <w:pStyle w:val="Texttabulky"/>
              <w:ind w:right="-2"/>
              <w:rPr>
                <w:rFonts w:ascii="Arial" w:hAnsi="Arial"/>
                <w:sz w:val="20"/>
              </w:rPr>
            </w:pPr>
            <w:r>
              <w:rPr>
                <w:rFonts w:ascii="Arial" w:hAnsi="Arial"/>
                <w:b/>
                <w:sz w:val="20"/>
              </w:rPr>
              <w:t xml:space="preserve"> </w:t>
            </w:r>
            <w:proofErr w:type="gramStart"/>
            <w:r w:rsidR="00BE71D6">
              <w:rPr>
                <w:rFonts w:ascii="Arial" w:hAnsi="Arial"/>
                <w:b/>
                <w:sz w:val="20"/>
              </w:rPr>
              <w:t>Zástupce</w:t>
            </w:r>
            <w:r>
              <w:rPr>
                <w:rFonts w:ascii="Arial" w:hAnsi="Arial"/>
                <w:b/>
                <w:sz w:val="20"/>
              </w:rPr>
              <w:t xml:space="preserve">:   </w:t>
            </w:r>
            <w:proofErr w:type="gramEnd"/>
            <w:r>
              <w:rPr>
                <w:rFonts w:ascii="Arial" w:hAnsi="Arial"/>
                <w:b/>
                <w:sz w:val="20"/>
              </w:rPr>
              <w:t xml:space="preserve">    </w:t>
            </w:r>
            <w:r>
              <w:fldChar w:fldCharType="begin"/>
            </w:r>
            <w:r>
              <w:instrText xml:space="preserve"> </w:instrText>
            </w:r>
            <w:r>
              <w:fldChar w:fldCharType="end"/>
            </w:r>
          </w:p>
        </w:tc>
      </w:tr>
    </w:tbl>
    <w:p w14:paraId="65184CF2" w14:textId="77777777" w:rsidR="00BE71D6" w:rsidRDefault="00BE71D6" w:rsidP="003A2C51">
      <w:pPr>
        <w:pStyle w:val="Zkladntext"/>
        <w:framePr w:w="5160" w:h="2318" w:hSpace="142" w:wrap="auto" w:vAnchor="page" w:hAnchor="page" w:x="579" w:y="1561"/>
        <w:shd w:val="pct12" w:color="auto" w:fill="FFFFFF"/>
        <w:jc w:val="left"/>
        <w:rPr>
          <w:rFonts w:ascii="Arial" w:hAnsi="Arial"/>
          <w:b/>
          <w:sz w:val="16"/>
        </w:rPr>
      </w:pPr>
      <w:r>
        <w:rPr>
          <w:rFonts w:ascii="Arial" w:hAnsi="Arial"/>
          <w:b/>
          <w:sz w:val="16"/>
        </w:rPr>
        <w:t xml:space="preserve">Oborová zdravotní pojišťovna zaměstnanců bank, </w:t>
      </w:r>
    </w:p>
    <w:p w14:paraId="65184CF3" w14:textId="77777777" w:rsidR="00BE71D6" w:rsidRDefault="00BE71D6" w:rsidP="003A2C51">
      <w:pPr>
        <w:pStyle w:val="Zkladntext"/>
        <w:framePr w:w="5160" w:h="2318" w:hSpace="142" w:wrap="auto" w:vAnchor="page" w:hAnchor="page" w:x="579" w:y="1561"/>
        <w:shd w:val="pct12" w:color="auto" w:fill="FFFFFF"/>
        <w:jc w:val="left"/>
        <w:rPr>
          <w:rFonts w:ascii="Arial" w:hAnsi="Arial"/>
          <w:sz w:val="16"/>
        </w:rPr>
      </w:pPr>
      <w:r>
        <w:rPr>
          <w:rFonts w:ascii="Arial" w:hAnsi="Arial"/>
          <w:b/>
          <w:sz w:val="16"/>
        </w:rPr>
        <w:t>pojišťoven a stavebnictví</w:t>
      </w:r>
    </w:p>
    <w:p w14:paraId="65184CF4" w14:textId="77777777" w:rsidR="00BE71D6" w:rsidRDefault="00BE71D6" w:rsidP="003A2C51">
      <w:pPr>
        <w:pStyle w:val="Zkladntext"/>
        <w:framePr w:w="5160" w:h="2318" w:hSpace="142" w:wrap="auto" w:vAnchor="page" w:hAnchor="page" w:x="579" w:y="1561"/>
        <w:shd w:val="pct12" w:color="auto" w:fill="FFFFFF"/>
        <w:jc w:val="left"/>
        <w:rPr>
          <w:rFonts w:ascii="Arial" w:hAnsi="Arial"/>
          <w:sz w:val="16"/>
        </w:rPr>
      </w:pPr>
      <w:r>
        <w:rPr>
          <w:rFonts w:ascii="Arial" w:hAnsi="Arial"/>
          <w:sz w:val="16"/>
        </w:rPr>
        <w:t>IČ: 47114321, DIČ: CZ47114321, kód 207</w:t>
      </w:r>
    </w:p>
    <w:p w14:paraId="65184CF5" w14:textId="46E35149" w:rsidR="00BE71D6" w:rsidRDefault="00BE71D6" w:rsidP="003A2C51">
      <w:pPr>
        <w:pStyle w:val="Zkladntext"/>
        <w:framePr w:w="5160" w:h="2318" w:hSpace="142" w:wrap="auto" w:vAnchor="page" w:hAnchor="page" w:x="579" w:y="1561"/>
        <w:shd w:val="pct12" w:color="auto" w:fill="FFFFFF"/>
        <w:tabs>
          <w:tab w:val="left" w:pos="1418"/>
        </w:tabs>
        <w:jc w:val="left"/>
        <w:rPr>
          <w:rFonts w:ascii="Arial" w:hAnsi="Arial"/>
          <w:b/>
          <w:sz w:val="16"/>
        </w:rPr>
      </w:pPr>
      <w:proofErr w:type="gramStart"/>
      <w:r>
        <w:rPr>
          <w:rFonts w:ascii="Arial" w:hAnsi="Arial"/>
          <w:sz w:val="16"/>
        </w:rPr>
        <w:t>Zástupce:</w:t>
      </w:r>
      <w:r>
        <w:rPr>
          <w:rFonts w:ascii="Arial" w:hAnsi="Arial"/>
          <w:b/>
          <w:sz w:val="16"/>
        </w:rPr>
        <w:t xml:space="preserve">  </w:t>
      </w:r>
      <w:r>
        <w:rPr>
          <w:rFonts w:ascii="Arial" w:hAnsi="Arial"/>
          <w:b/>
          <w:sz w:val="16"/>
        </w:rPr>
        <w:tab/>
      </w:r>
      <w:proofErr w:type="gramEnd"/>
      <w:r>
        <w:rPr>
          <w:rFonts w:ascii="Arial" w:hAnsi="Arial"/>
          <w:b/>
          <w:sz w:val="16"/>
        </w:rPr>
        <w:t xml:space="preserve">Ing. </w:t>
      </w:r>
      <w:r w:rsidR="00294590">
        <w:rPr>
          <w:rFonts w:ascii="Arial" w:hAnsi="Arial"/>
          <w:b/>
          <w:sz w:val="16"/>
        </w:rPr>
        <w:t>Radovan Kouřil</w:t>
      </w:r>
    </w:p>
    <w:p w14:paraId="65184CF6" w14:textId="77777777" w:rsidR="00BE71D6" w:rsidRDefault="00BE71D6" w:rsidP="003A2C51">
      <w:pPr>
        <w:pStyle w:val="Zkladntext"/>
        <w:framePr w:w="5160" w:h="2318" w:hSpace="142" w:wrap="auto" w:vAnchor="page" w:hAnchor="page" w:x="579" w:y="1561"/>
        <w:shd w:val="pct12" w:color="auto" w:fill="FFFFFF"/>
        <w:tabs>
          <w:tab w:val="left" w:pos="1418"/>
        </w:tabs>
        <w:ind w:firstLine="1106"/>
        <w:jc w:val="left"/>
        <w:rPr>
          <w:rFonts w:ascii="Arial" w:hAnsi="Arial"/>
          <w:b/>
          <w:sz w:val="16"/>
        </w:rPr>
      </w:pPr>
      <w:r>
        <w:rPr>
          <w:rFonts w:ascii="Arial" w:hAnsi="Arial"/>
          <w:b/>
          <w:sz w:val="16"/>
        </w:rPr>
        <w:tab/>
        <w:t>generální ředitel</w:t>
      </w:r>
    </w:p>
    <w:p w14:paraId="65184CF7" w14:textId="77777777" w:rsidR="00BE71D6" w:rsidRDefault="00BE71D6" w:rsidP="003A2C51">
      <w:pPr>
        <w:pStyle w:val="Zkladntext"/>
        <w:framePr w:w="5160" w:h="2318" w:hSpace="142" w:wrap="auto" w:vAnchor="page" w:hAnchor="page" w:x="579" w:y="1561"/>
        <w:shd w:val="pct12" w:color="auto" w:fill="FFFFFF"/>
        <w:tabs>
          <w:tab w:val="left" w:pos="1418"/>
          <w:tab w:val="left" w:pos="1701"/>
        </w:tabs>
        <w:jc w:val="left"/>
        <w:rPr>
          <w:rFonts w:ascii="Arial" w:hAnsi="Arial"/>
          <w:b/>
          <w:sz w:val="16"/>
        </w:rPr>
      </w:pPr>
      <w:r>
        <w:rPr>
          <w:rFonts w:ascii="Arial" w:hAnsi="Arial"/>
          <w:sz w:val="16"/>
        </w:rPr>
        <w:t xml:space="preserve">se </w:t>
      </w:r>
      <w:proofErr w:type="gramStart"/>
      <w:r>
        <w:rPr>
          <w:rFonts w:ascii="Arial" w:hAnsi="Arial"/>
          <w:sz w:val="16"/>
        </w:rPr>
        <w:t xml:space="preserve">sídlem:   </w:t>
      </w:r>
      <w:proofErr w:type="gramEnd"/>
      <w:r>
        <w:rPr>
          <w:rFonts w:ascii="Arial" w:hAnsi="Arial"/>
          <w:sz w:val="16"/>
        </w:rPr>
        <w:tab/>
      </w:r>
      <w:r>
        <w:rPr>
          <w:rFonts w:ascii="Arial" w:hAnsi="Arial"/>
          <w:b/>
          <w:sz w:val="16"/>
        </w:rPr>
        <w:t>Roškotova 1225/1</w:t>
      </w:r>
    </w:p>
    <w:p w14:paraId="65184CF8" w14:textId="77777777" w:rsidR="00BE71D6" w:rsidRDefault="00BE71D6" w:rsidP="003A2C51">
      <w:pPr>
        <w:pStyle w:val="Zkladntext"/>
        <w:framePr w:w="5160" w:h="2318" w:hSpace="142" w:wrap="auto" w:vAnchor="page" w:hAnchor="page" w:x="579" w:y="1561"/>
        <w:shd w:val="pct12" w:color="auto" w:fill="FFFFFF"/>
        <w:tabs>
          <w:tab w:val="left" w:pos="1418"/>
          <w:tab w:val="left" w:pos="1701"/>
        </w:tabs>
        <w:jc w:val="left"/>
        <w:rPr>
          <w:rFonts w:ascii="Arial" w:hAnsi="Arial"/>
          <w:b/>
          <w:sz w:val="16"/>
        </w:rPr>
      </w:pPr>
      <w:r>
        <w:rPr>
          <w:rFonts w:ascii="Arial" w:hAnsi="Arial"/>
          <w:b/>
          <w:sz w:val="16"/>
        </w:rPr>
        <w:tab/>
        <w:t>140 21 Praha 4</w:t>
      </w:r>
    </w:p>
    <w:p w14:paraId="65184CF9" w14:textId="77777777" w:rsidR="00BE71D6" w:rsidRDefault="00BE71D6" w:rsidP="003A2C51">
      <w:pPr>
        <w:pStyle w:val="Zkladntext"/>
        <w:framePr w:w="5160" w:h="2318" w:hSpace="142" w:wrap="auto" w:vAnchor="page" w:hAnchor="page" w:x="579" w:y="1561"/>
        <w:shd w:val="pct12" w:color="auto" w:fill="FFFFFF"/>
        <w:tabs>
          <w:tab w:val="left" w:pos="1418"/>
          <w:tab w:val="left" w:pos="1701"/>
        </w:tabs>
        <w:jc w:val="left"/>
        <w:rPr>
          <w:rFonts w:ascii="Arial" w:hAnsi="Arial"/>
          <w:sz w:val="16"/>
        </w:rPr>
      </w:pPr>
      <w:r>
        <w:rPr>
          <w:rFonts w:ascii="Arial" w:hAnsi="Arial"/>
          <w:sz w:val="16"/>
        </w:rPr>
        <w:t>zapsaná</w:t>
      </w:r>
      <w:r>
        <w:rPr>
          <w:rFonts w:ascii="Arial" w:hAnsi="Arial"/>
          <w:sz w:val="16"/>
        </w:rPr>
        <w:tab/>
        <w:t xml:space="preserve">v obchodním rejstříku, vedeném </w:t>
      </w:r>
    </w:p>
    <w:p w14:paraId="65184CFB" w14:textId="0385462A" w:rsidR="00BE71D6" w:rsidRDefault="00BE71D6" w:rsidP="003A2C51">
      <w:pPr>
        <w:pStyle w:val="Zkladntext"/>
        <w:framePr w:w="5160" w:h="2318" w:hSpace="142" w:wrap="auto" w:vAnchor="page" w:hAnchor="page" w:x="579" w:y="1561"/>
        <w:shd w:val="pct12" w:color="auto" w:fill="FFFFFF"/>
        <w:tabs>
          <w:tab w:val="left" w:pos="1418"/>
          <w:tab w:val="left" w:pos="1701"/>
        </w:tabs>
        <w:jc w:val="left"/>
        <w:rPr>
          <w:rFonts w:ascii="Arial" w:hAnsi="Arial"/>
          <w:sz w:val="16"/>
        </w:rPr>
      </w:pPr>
      <w:r>
        <w:rPr>
          <w:rFonts w:ascii="Arial" w:hAnsi="Arial"/>
          <w:sz w:val="16"/>
        </w:rPr>
        <w:tab/>
        <w:t xml:space="preserve">Městským soudem v Praze </w:t>
      </w:r>
      <w:r w:rsidR="00DE51C4">
        <w:rPr>
          <w:rFonts w:ascii="Arial" w:hAnsi="Arial"/>
          <w:sz w:val="16"/>
        </w:rPr>
        <w:t xml:space="preserve">spis. zn. </w:t>
      </w:r>
      <w:r>
        <w:rPr>
          <w:rFonts w:ascii="Arial" w:hAnsi="Arial"/>
          <w:sz w:val="16"/>
        </w:rPr>
        <w:t>A 7232</w:t>
      </w:r>
    </w:p>
    <w:p w14:paraId="65184CFC" w14:textId="265D87FF" w:rsidR="00BE71D6" w:rsidRDefault="00BE71D6" w:rsidP="003A2C51">
      <w:pPr>
        <w:pStyle w:val="Zkladntext"/>
        <w:framePr w:w="5160" w:h="2318" w:hSpace="142" w:wrap="auto" w:vAnchor="page" w:hAnchor="page" w:x="579" w:y="1561"/>
        <w:shd w:val="pct12" w:color="auto" w:fill="FFFFFF"/>
        <w:tabs>
          <w:tab w:val="left" w:pos="1701"/>
        </w:tabs>
        <w:jc w:val="left"/>
        <w:rPr>
          <w:rFonts w:ascii="Arial" w:hAnsi="Arial"/>
          <w:sz w:val="16"/>
        </w:rPr>
      </w:pPr>
      <w:r>
        <w:rPr>
          <w:rFonts w:ascii="Arial" w:hAnsi="Arial"/>
          <w:sz w:val="16"/>
        </w:rPr>
        <w:t xml:space="preserve">Bankovní </w:t>
      </w:r>
      <w:proofErr w:type="gramStart"/>
      <w:r>
        <w:rPr>
          <w:rFonts w:ascii="Arial" w:hAnsi="Arial"/>
          <w:sz w:val="16"/>
        </w:rPr>
        <w:t xml:space="preserve">spojení: </w:t>
      </w:r>
      <w:r w:rsidR="00BF5F37">
        <w:rPr>
          <w:rFonts w:ascii="Arial" w:hAnsi="Arial"/>
          <w:sz w:val="16"/>
        </w:rPr>
        <w:t xml:space="preserve">  </w:t>
      </w:r>
      <w:proofErr w:type="gramEnd"/>
      <w:r w:rsidR="00294590">
        <w:rPr>
          <w:rFonts w:ascii="Arial" w:hAnsi="Arial"/>
          <w:sz w:val="16"/>
        </w:rPr>
        <w:t xml:space="preserve">Česká národní banka., č. </w:t>
      </w:r>
      <w:proofErr w:type="spellStart"/>
      <w:r w:rsidR="00294590">
        <w:rPr>
          <w:rFonts w:ascii="Arial" w:hAnsi="Arial"/>
          <w:sz w:val="16"/>
        </w:rPr>
        <w:t>ú.</w:t>
      </w:r>
      <w:proofErr w:type="spellEnd"/>
      <w:r w:rsidR="00294590">
        <w:rPr>
          <w:rFonts w:ascii="Arial" w:hAnsi="Arial"/>
          <w:sz w:val="16"/>
        </w:rPr>
        <w:t>: 2070101041/0710</w:t>
      </w:r>
    </w:p>
    <w:p w14:paraId="65184CFD" w14:textId="77777777" w:rsidR="00BE71D6" w:rsidRDefault="00BE71D6" w:rsidP="003A2C51">
      <w:pPr>
        <w:pStyle w:val="Zkladntext"/>
        <w:framePr w:w="5160" w:h="2318" w:hSpace="142" w:wrap="auto" w:vAnchor="page" w:hAnchor="page" w:x="579" w:y="1561"/>
        <w:shd w:val="pct12" w:color="auto" w:fill="FFFFFF"/>
        <w:tabs>
          <w:tab w:val="left" w:pos="1701"/>
        </w:tabs>
        <w:jc w:val="left"/>
        <w:rPr>
          <w:rFonts w:ascii="Arial" w:hAnsi="Arial"/>
          <w:sz w:val="16"/>
        </w:rPr>
      </w:pPr>
      <w:r>
        <w:rPr>
          <w:rFonts w:ascii="Arial" w:hAnsi="Arial"/>
          <w:sz w:val="16"/>
        </w:rPr>
        <w:t>(dále jen „Zdravotní pojišťovna“) na straně jedné</w:t>
      </w:r>
    </w:p>
    <w:p w14:paraId="65184CFE" w14:textId="77777777" w:rsidR="00BE71D6" w:rsidRDefault="00BE71D6" w:rsidP="003A2C51">
      <w:pPr>
        <w:pStyle w:val="Zkladntext"/>
        <w:framePr w:w="5160" w:h="2318" w:hSpace="142" w:wrap="auto" w:vAnchor="page" w:hAnchor="page" w:x="579" w:y="1561"/>
        <w:shd w:val="pct12" w:color="auto" w:fill="FFFFFF"/>
        <w:tabs>
          <w:tab w:val="left" w:pos="1701"/>
        </w:tabs>
        <w:jc w:val="center"/>
        <w:rPr>
          <w:rFonts w:ascii="Arial" w:hAnsi="Arial"/>
          <w:sz w:val="16"/>
        </w:rPr>
      </w:pPr>
      <w:r>
        <w:rPr>
          <w:rFonts w:ascii="Arial" w:hAnsi="Arial"/>
          <w:sz w:val="16"/>
        </w:rPr>
        <w:t>a</w:t>
      </w:r>
    </w:p>
    <w:p w14:paraId="65184CFF" w14:textId="77777777" w:rsidR="004C1152" w:rsidRDefault="004C1152" w:rsidP="00EA4C12">
      <w:pPr>
        <w:framePr w:w="4082" w:h="2387" w:hRule="exact" w:hSpace="142" w:wrap="auto" w:vAnchor="page" w:hAnchor="page" w:x="7194" w:y="1291"/>
        <w:jc w:val="right"/>
        <w:rPr>
          <w:rFonts w:ascii="Arial" w:hAnsi="Arial"/>
          <w:b/>
          <w:sz w:val="16"/>
        </w:rPr>
      </w:pPr>
      <w:r>
        <w:rPr>
          <w:rFonts w:ascii="Arial" w:hAnsi="Arial"/>
          <w:b/>
          <w:sz w:val="16"/>
        </w:rPr>
        <w:t>* 0 / 0</w:t>
      </w:r>
      <w:r>
        <w:fldChar w:fldCharType="begin"/>
      </w:r>
      <w:r>
        <w:instrText xml:space="preserve"> </w:instrText>
      </w:r>
      <w:r>
        <w:fldChar w:fldCharType="end"/>
      </w:r>
    </w:p>
    <w:p w14:paraId="65184D00" w14:textId="77777777" w:rsidR="004C1152" w:rsidRDefault="004C1152">
      <w:pPr>
        <w:pStyle w:val="Zkladntext"/>
        <w:framePr w:w="4082" w:h="2387" w:hRule="exact" w:hSpace="142" w:wrap="auto" w:vAnchor="page" w:hAnchor="page" w:x="7194" w:y="1291"/>
        <w:ind w:right="-2"/>
        <w:jc w:val="left"/>
        <w:rPr>
          <w:rFonts w:ascii="Arial" w:hAnsi="Arial"/>
          <w:sz w:val="16"/>
        </w:rPr>
      </w:pPr>
      <w:r>
        <w:rPr>
          <w:rFonts w:ascii="Arial" w:hAnsi="Arial"/>
          <w:sz w:val="16"/>
        </w:rPr>
        <w:t>Kontaktní adresa:</w:t>
      </w:r>
    </w:p>
    <w:p w14:paraId="65184D01" w14:textId="77777777" w:rsidR="004C1152" w:rsidRDefault="004C1152">
      <w:pPr>
        <w:framePr w:w="4082" w:h="2387" w:hRule="exact" w:hSpace="142" w:wrap="auto" w:vAnchor="page" w:hAnchor="page" w:x="7194" w:y="1291"/>
        <w:jc w:val="right"/>
        <w:rPr>
          <w:rFonts w:ascii="Arial" w:hAnsi="Arial"/>
          <w:sz w:val="16"/>
        </w:rPr>
      </w:pPr>
    </w:p>
    <w:p w14:paraId="65184D02" w14:textId="77777777" w:rsidR="004C1152" w:rsidRDefault="004C1152">
      <w:pPr>
        <w:framePr w:w="4082" w:h="2387" w:hRule="exact" w:hSpace="142" w:wrap="auto" w:vAnchor="page" w:hAnchor="page" w:x="7194" w:y="1291"/>
        <w:rPr>
          <w:rFonts w:ascii="Arial" w:hAnsi="Arial"/>
          <w:b/>
          <w:sz w:val="16"/>
        </w:rPr>
      </w:pPr>
      <w:r>
        <w:rPr>
          <w:rFonts w:ascii="Arial" w:hAnsi="Arial"/>
          <w:sz w:val="16"/>
        </w:rPr>
        <w:t xml:space="preserve"> </w:t>
      </w:r>
    </w:p>
    <w:p w14:paraId="65184D03" w14:textId="77777777" w:rsidR="004C1152" w:rsidRDefault="004C1152">
      <w:pPr>
        <w:framePr w:w="4082" w:h="2387" w:hRule="exact" w:hSpace="142" w:wrap="auto" w:vAnchor="page" w:hAnchor="page" w:x="7194" w:y="1291"/>
        <w:rPr>
          <w:rFonts w:ascii="Arial" w:hAnsi="Arial"/>
          <w:sz w:val="16"/>
        </w:rPr>
      </w:pPr>
    </w:p>
    <w:p w14:paraId="65184D04" w14:textId="77777777" w:rsidR="004C1152" w:rsidRDefault="004C1152">
      <w:pPr>
        <w:framePr w:w="3731" w:h="743" w:hSpace="142" w:wrap="auto" w:vAnchor="page" w:hAnchor="page" w:x="7689" w:y="421"/>
        <w:rPr>
          <w:rFonts w:ascii="Arial" w:hAnsi="Arial"/>
          <w:sz w:val="40"/>
        </w:rPr>
      </w:pPr>
      <w:r>
        <w:rPr>
          <w:rFonts w:ascii="Code-39-25" w:hAnsi="Code-39-25"/>
          <w:sz w:val="40"/>
        </w:rPr>
        <w:t xml:space="preserve"> </w:t>
      </w:r>
    </w:p>
    <w:p w14:paraId="65184D05" w14:textId="77777777" w:rsidR="004C1152" w:rsidRDefault="004C1152">
      <w:pPr>
        <w:pStyle w:val="Zkladntext"/>
        <w:jc w:val="center"/>
        <w:rPr>
          <w:rFonts w:ascii="Arial" w:hAnsi="Arial"/>
          <w:sz w:val="16"/>
        </w:rPr>
      </w:pPr>
      <w:r>
        <w:rPr>
          <w:rFonts w:ascii="Arial" w:hAnsi="Arial"/>
          <w:sz w:val="16"/>
        </w:rPr>
        <w:t xml:space="preserve">(dále jen </w:t>
      </w:r>
      <w:r w:rsidR="00BE71D6">
        <w:rPr>
          <w:rFonts w:ascii="Arial" w:hAnsi="Arial"/>
          <w:sz w:val="16"/>
        </w:rPr>
        <w:t>„</w:t>
      </w:r>
      <w:r>
        <w:rPr>
          <w:rFonts w:ascii="Arial" w:hAnsi="Arial"/>
          <w:sz w:val="16"/>
        </w:rPr>
        <w:t>Poskytovatel</w:t>
      </w:r>
      <w:r w:rsidR="00BE71D6">
        <w:rPr>
          <w:rFonts w:ascii="Arial" w:hAnsi="Arial"/>
          <w:sz w:val="16"/>
        </w:rPr>
        <w:t>“</w:t>
      </w:r>
      <w:r>
        <w:rPr>
          <w:rFonts w:ascii="Arial" w:hAnsi="Arial"/>
          <w:sz w:val="16"/>
        </w:rPr>
        <w:t>) na straně druhé</w:t>
      </w:r>
    </w:p>
    <w:p w14:paraId="65184D06" w14:textId="77777777" w:rsidR="004C1152" w:rsidRDefault="009D29E7">
      <w:pPr>
        <w:pStyle w:val="Zkladntext"/>
        <w:jc w:val="center"/>
        <w:rPr>
          <w:rFonts w:ascii="Arial" w:hAnsi="Arial"/>
          <w:sz w:val="16"/>
        </w:rPr>
      </w:pPr>
      <w:r>
        <w:rPr>
          <w:rFonts w:ascii="Arial" w:hAnsi="Arial"/>
          <w:sz w:val="16"/>
        </w:rPr>
        <w:t>uzavírají po dohodě tento</w:t>
      </w:r>
      <w:r w:rsidR="004C1152">
        <w:rPr>
          <w:rFonts w:ascii="Arial" w:hAnsi="Arial"/>
          <w:sz w:val="16"/>
        </w:rPr>
        <w:t xml:space="preserve"> </w:t>
      </w:r>
    </w:p>
    <w:p w14:paraId="65184D07" w14:textId="2391733C" w:rsidR="004C1152" w:rsidRDefault="00AD6E6A">
      <w:pPr>
        <w:pStyle w:val="Zkladntext"/>
        <w:spacing w:before="120"/>
        <w:jc w:val="center"/>
        <w:rPr>
          <w:rFonts w:ascii="Arial" w:hAnsi="Arial"/>
          <w:b/>
          <w:sz w:val="24"/>
          <w:szCs w:val="24"/>
        </w:rPr>
      </w:pPr>
      <w:r w:rsidRPr="00A93C14">
        <w:rPr>
          <w:rFonts w:ascii="Arial" w:hAnsi="Arial"/>
          <w:b/>
          <w:sz w:val="24"/>
          <w:szCs w:val="24"/>
        </w:rPr>
        <w:t>DODATEK</w:t>
      </w:r>
      <w:r w:rsidR="004C1152" w:rsidRPr="00A93C14">
        <w:rPr>
          <w:rFonts w:ascii="Arial" w:hAnsi="Arial"/>
          <w:b/>
          <w:sz w:val="24"/>
          <w:szCs w:val="24"/>
        </w:rPr>
        <w:t xml:space="preserve"> </w:t>
      </w:r>
      <w:r w:rsidR="008A7986">
        <w:rPr>
          <w:rFonts w:ascii="Arial" w:hAnsi="Arial"/>
          <w:b/>
          <w:sz w:val="24"/>
          <w:szCs w:val="24"/>
        </w:rPr>
        <w:t>S</w:t>
      </w:r>
      <w:r w:rsidR="00B97483">
        <w:rPr>
          <w:rFonts w:ascii="Arial" w:hAnsi="Arial"/>
          <w:b/>
          <w:sz w:val="24"/>
          <w:szCs w:val="24"/>
        </w:rPr>
        <w:t>-</w:t>
      </w:r>
      <w:r w:rsidR="00450CF2">
        <w:rPr>
          <w:rFonts w:ascii="Arial" w:hAnsi="Arial"/>
          <w:b/>
          <w:sz w:val="24"/>
          <w:szCs w:val="24"/>
        </w:rPr>
        <w:t>AGR</w:t>
      </w:r>
      <w:r w:rsidR="004C1152" w:rsidRPr="00A93C14">
        <w:rPr>
          <w:rFonts w:ascii="Arial" w:hAnsi="Arial"/>
          <w:b/>
          <w:sz w:val="24"/>
          <w:szCs w:val="24"/>
        </w:rPr>
        <w:t xml:space="preserve"> </w:t>
      </w:r>
      <w:r w:rsidR="0017441F">
        <w:rPr>
          <w:rFonts w:ascii="Arial" w:hAnsi="Arial"/>
          <w:b/>
          <w:sz w:val="24"/>
          <w:szCs w:val="24"/>
        </w:rPr>
        <w:t>2022</w:t>
      </w:r>
    </w:p>
    <w:p w14:paraId="17A89F06" w14:textId="5EDB5C80" w:rsidR="0001639E" w:rsidRDefault="0001639E" w:rsidP="00DB2D97">
      <w:pPr>
        <w:pStyle w:val="Zkladntext"/>
        <w:spacing w:after="120"/>
        <w:jc w:val="center"/>
        <w:rPr>
          <w:rFonts w:ascii="Arial" w:hAnsi="Arial"/>
          <w:sz w:val="16"/>
        </w:rPr>
      </w:pPr>
      <w:r>
        <w:rPr>
          <w:rFonts w:ascii="Arial" w:hAnsi="Arial"/>
          <w:sz w:val="16"/>
        </w:rPr>
        <w:t>(dále jen „Dodatek“)</w:t>
      </w:r>
    </w:p>
    <w:p w14:paraId="65184D08" w14:textId="77777777" w:rsidR="004C1152" w:rsidRPr="007607C7" w:rsidRDefault="004C1152">
      <w:pPr>
        <w:pStyle w:val="Zkladntext"/>
        <w:spacing w:before="120"/>
        <w:jc w:val="center"/>
        <w:rPr>
          <w:rFonts w:ascii="Arial" w:hAnsi="Arial" w:cs="Arial"/>
          <w:b/>
          <w:sz w:val="18"/>
          <w:szCs w:val="18"/>
        </w:rPr>
      </w:pPr>
      <w:r w:rsidRPr="007607C7">
        <w:rPr>
          <w:rFonts w:ascii="Arial" w:hAnsi="Arial" w:cs="Arial"/>
          <w:b/>
          <w:sz w:val="18"/>
          <w:szCs w:val="18"/>
        </w:rPr>
        <w:t>I.</w:t>
      </w:r>
    </w:p>
    <w:p w14:paraId="65184D09" w14:textId="508C56C1" w:rsidR="005779B8" w:rsidRPr="007607C7" w:rsidRDefault="005779B8" w:rsidP="005779B8">
      <w:pPr>
        <w:pStyle w:val="Zkladntext"/>
        <w:numPr>
          <w:ilvl w:val="0"/>
          <w:numId w:val="2"/>
        </w:numPr>
        <w:tabs>
          <w:tab w:val="clear" w:pos="720"/>
          <w:tab w:val="num" w:pos="426"/>
        </w:tabs>
        <w:ind w:left="426" w:hanging="426"/>
        <w:rPr>
          <w:rFonts w:ascii="Arial" w:hAnsi="Arial" w:cs="Arial"/>
          <w:sz w:val="18"/>
          <w:szCs w:val="18"/>
        </w:rPr>
      </w:pPr>
      <w:r w:rsidRPr="007607C7">
        <w:rPr>
          <w:rFonts w:ascii="Arial" w:hAnsi="Arial" w:cs="Arial"/>
          <w:sz w:val="18"/>
          <w:szCs w:val="18"/>
        </w:rPr>
        <w:t xml:space="preserve">Předmětem tohoto Dodatku je stanovení podmínek, způsobu a výše úhrady </w:t>
      </w:r>
      <w:r w:rsidR="008A7986" w:rsidRPr="007607C7">
        <w:rPr>
          <w:rFonts w:ascii="Arial" w:hAnsi="Arial" w:cs="Arial"/>
          <w:b/>
          <w:sz w:val="18"/>
          <w:szCs w:val="18"/>
        </w:rPr>
        <w:t>zdravotních služeb v </w:t>
      </w:r>
      <w:r w:rsidR="008A7986">
        <w:rPr>
          <w:rFonts w:ascii="Arial" w:hAnsi="Arial" w:cs="Arial"/>
          <w:b/>
          <w:sz w:val="18"/>
          <w:szCs w:val="18"/>
        </w:rPr>
        <w:t>oboru zubní lékařství</w:t>
      </w:r>
      <w:r w:rsidR="008A7986" w:rsidRPr="007607C7">
        <w:rPr>
          <w:rFonts w:ascii="Arial" w:hAnsi="Arial" w:cs="Arial"/>
          <w:sz w:val="18"/>
          <w:szCs w:val="18"/>
        </w:rPr>
        <w:t xml:space="preserve"> </w:t>
      </w:r>
      <w:r w:rsidRPr="007607C7">
        <w:rPr>
          <w:rFonts w:ascii="Arial" w:hAnsi="Arial" w:cs="Arial"/>
          <w:sz w:val="18"/>
          <w:szCs w:val="18"/>
        </w:rPr>
        <w:t xml:space="preserve">hrazených z veřejného zdravotního pojištění a poskytnutých </w:t>
      </w:r>
      <w:r w:rsidRPr="007607C7">
        <w:rPr>
          <w:rFonts w:ascii="Arial" w:hAnsi="Arial" w:cs="Arial"/>
          <w:b/>
          <w:sz w:val="18"/>
          <w:szCs w:val="18"/>
        </w:rPr>
        <w:t xml:space="preserve">v roce </w:t>
      </w:r>
      <w:r w:rsidR="00A3710C">
        <w:rPr>
          <w:rFonts w:ascii="Arial" w:hAnsi="Arial" w:cs="Arial"/>
          <w:b/>
          <w:sz w:val="18"/>
          <w:szCs w:val="18"/>
        </w:rPr>
        <w:t>20</w:t>
      </w:r>
      <w:r w:rsidR="00705030">
        <w:rPr>
          <w:rFonts w:ascii="Arial" w:hAnsi="Arial" w:cs="Arial"/>
          <w:b/>
          <w:sz w:val="18"/>
          <w:szCs w:val="18"/>
        </w:rPr>
        <w:t>2</w:t>
      </w:r>
      <w:r w:rsidR="0017441F">
        <w:rPr>
          <w:rFonts w:ascii="Arial" w:hAnsi="Arial" w:cs="Arial"/>
          <w:b/>
          <w:sz w:val="18"/>
          <w:szCs w:val="18"/>
        </w:rPr>
        <w:t>2</w:t>
      </w:r>
      <w:r w:rsidRPr="007607C7">
        <w:rPr>
          <w:rFonts w:ascii="Arial" w:hAnsi="Arial" w:cs="Arial"/>
          <w:sz w:val="18"/>
          <w:szCs w:val="18"/>
        </w:rPr>
        <w:t xml:space="preserve"> Poskytovatelem pojištěncům Zdravotní pojišťovny a pojištěncům z ostatních členských států Evropské unie, Evropského hospodářského prostoru a Švýcarska podle příslušných předpisů Evropské unie</w:t>
      </w:r>
      <w:r w:rsidR="0017441F">
        <w:rPr>
          <w:rFonts w:ascii="Arial" w:hAnsi="Arial" w:cs="Arial"/>
          <w:sz w:val="18"/>
          <w:szCs w:val="18"/>
        </w:rPr>
        <w:t>, pojištěncům Spojeného království podle Dohody o obchodu a spolupráci</w:t>
      </w:r>
      <w:r w:rsidRPr="007607C7">
        <w:rPr>
          <w:rFonts w:ascii="Arial" w:hAnsi="Arial" w:cs="Arial"/>
          <w:sz w:val="18"/>
          <w:szCs w:val="18"/>
          <w:vertAlign w:val="superscript"/>
        </w:rPr>
        <w:t xml:space="preserve"> </w:t>
      </w:r>
      <w:r w:rsidRPr="007607C7">
        <w:rPr>
          <w:rFonts w:ascii="Arial" w:hAnsi="Arial" w:cs="Arial"/>
          <w:sz w:val="18"/>
          <w:szCs w:val="18"/>
        </w:rPr>
        <w:t>a pojištěncům dalších států, se kterými má Česká republika uzavřeny mezinárodní smlouvy o sociálním zabezpečení</w:t>
      </w:r>
      <w:r w:rsidRPr="007607C7">
        <w:rPr>
          <w:rFonts w:ascii="Arial" w:hAnsi="Arial" w:cs="Arial"/>
          <w:sz w:val="18"/>
          <w:szCs w:val="18"/>
          <w:vertAlign w:val="superscript"/>
        </w:rPr>
        <w:t xml:space="preserve"> </w:t>
      </w:r>
      <w:r w:rsidRPr="007607C7">
        <w:rPr>
          <w:rFonts w:ascii="Arial" w:hAnsi="Arial" w:cs="Arial"/>
          <w:sz w:val="18"/>
          <w:szCs w:val="18"/>
        </w:rPr>
        <w:t>vztahující se i na oblast zdravotní</w:t>
      </w:r>
      <w:r w:rsidRPr="007607C7">
        <w:rPr>
          <w:rFonts w:ascii="Arial" w:hAnsi="Arial" w:cs="Arial"/>
          <w:sz w:val="18"/>
          <w:szCs w:val="18"/>
          <w:vertAlign w:val="superscript"/>
        </w:rPr>
        <w:t xml:space="preserve"> </w:t>
      </w:r>
      <w:r w:rsidRPr="007607C7">
        <w:rPr>
          <w:rFonts w:ascii="Arial" w:hAnsi="Arial" w:cs="Arial"/>
          <w:sz w:val="18"/>
          <w:szCs w:val="18"/>
        </w:rPr>
        <w:t>péče (dále jen „</w:t>
      </w:r>
      <w:r w:rsidR="00DE51C4">
        <w:rPr>
          <w:rFonts w:ascii="Arial" w:hAnsi="Arial" w:cs="Arial"/>
          <w:sz w:val="18"/>
          <w:szCs w:val="18"/>
        </w:rPr>
        <w:t>Z</w:t>
      </w:r>
      <w:r w:rsidR="00DE51C4" w:rsidRPr="007607C7">
        <w:rPr>
          <w:rFonts w:ascii="Arial" w:hAnsi="Arial" w:cs="Arial"/>
          <w:sz w:val="18"/>
          <w:szCs w:val="18"/>
        </w:rPr>
        <w:t xml:space="preserve">ahraniční </w:t>
      </w:r>
      <w:r w:rsidRPr="007607C7">
        <w:rPr>
          <w:rFonts w:ascii="Arial" w:hAnsi="Arial" w:cs="Arial"/>
          <w:sz w:val="18"/>
          <w:szCs w:val="18"/>
        </w:rPr>
        <w:t>pojištěnec“).</w:t>
      </w:r>
    </w:p>
    <w:p w14:paraId="65184D0A" w14:textId="31C24C97" w:rsidR="005779B8" w:rsidRPr="007607C7" w:rsidRDefault="005779B8" w:rsidP="005779B8">
      <w:pPr>
        <w:pStyle w:val="Zkladntext"/>
        <w:numPr>
          <w:ilvl w:val="0"/>
          <w:numId w:val="2"/>
        </w:numPr>
        <w:tabs>
          <w:tab w:val="clear" w:pos="720"/>
          <w:tab w:val="num" w:pos="426"/>
        </w:tabs>
        <w:ind w:left="426" w:hanging="426"/>
        <w:rPr>
          <w:rFonts w:ascii="Arial" w:hAnsi="Arial" w:cs="Arial"/>
          <w:sz w:val="18"/>
          <w:szCs w:val="18"/>
        </w:rPr>
      </w:pPr>
      <w:r w:rsidRPr="007607C7">
        <w:rPr>
          <w:rFonts w:ascii="Arial" w:hAnsi="Arial" w:cs="Arial"/>
          <w:sz w:val="18"/>
          <w:szCs w:val="18"/>
        </w:rPr>
        <w:t xml:space="preserve">Smluvní strany se zavazují postupovat při vyúčtování a úhradě zdravotních služeb poskytnutých </w:t>
      </w:r>
      <w:r w:rsidR="00DE51C4">
        <w:rPr>
          <w:rFonts w:ascii="Arial" w:hAnsi="Arial" w:cs="Arial"/>
          <w:sz w:val="18"/>
          <w:szCs w:val="18"/>
        </w:rPr>
        <w:t>Z</w:t>
      </w:r>
      <w:r w:rsidR="00DE51C4" w:rsidRPr="007607C7">
        <w:rPr>
          <w:rFonts w:ascii="Arial" w:hAnsi="Arial" w:cs="Arial"/>
          <w:sz w:val="18"/>
          <w:szCs w:val="18"/>
        </w:rPr>
        <w:t xml:space="preserve">ahraničním </w:t>
      </w:r>
      <w:r w:rsidRPr="007607C7">
        <w:rPr>
          <w:rFonts w:ascii="Arial" w:hAnsi="Arial" w:cs="Arial"/>
          <w:sz w:val="18"/>
          <w:szCs w:val="18"/>
        </w:rPr>
        <w:t xml:space="preserve">pojištěncům podle nařízení Evropského parlamentu a Rady (ES) č. 883/2004 o koordinaci systémů sociálního zabezpečení a č. 987/2009, kterým se stanoví prováděcí pravidla k nařízení (ES) č. 883/2004 o koordinaci systémů sociálního zabezpečení, a metodického pokynu Ministerstva zdravotnictví ČR, publikovaného ve Věstníku Ministerstva zdravotnictví ČR, částka 6, z května 2010. </w:t>
      </w:r>
    </w:p>
    <w:p w14:paraId="65184D0B" w14:textId="536AE4C3" w:rsidR="005779B8" w:rsidRPr="007607C7" w:rsidRDefault="005779B8" w:rsidP="005779B8">
      <w:pPr>
        <w:pStyle w:val="Zkladntext"/>
        <w:numPr>
          <w:ilvl w:val="0"/>
          <w:numId w:val="2"/>
        </w:numPr>
        <w:tabs>
          <w:tab w:val="clear" w:pos="720"/>
          <w:tab w:val="num" w:pos="426"/>
        </w:tabs>
        <w:ind w:left="426" w:hanging="426"/>
        <w:rPr>
          <w:rFonts w:ascii="Arial" w:hAnsi="Arial" w:cs="Arial"/>
          <w:sz w:val="18"/>
          <w:szCs w:val="18"/>
        </w:rPr>
      </w:pPr>
      <w:r w:rsidRPr="007607C7">
        <w:rPr>
          <w:rFonts w:ascii="Arial" w:hAnsi="Arial" w:cs="Arial"/>
          <w:sz w:val="18"/>
          <w:szCs w:val="18"/>
        </w:rPr>
        <w:t xml:space="preserve">V návaznosti na článek I. odst. 2 tohoto Dodatku se Poskytovatel zavazuje, že vykáže zdravotní služby poskytnuté </w:t>
      </w:r>
      <w:r w:rsidR="00DE51C4">
        <w:rPr>
          <w:rFonts w:ascii="Arial" w:hAnsi="Arial" w:cs="Arial"/>
          <w:sz w:val="18"/>
          <w:szCs w:val="18"/>
        </w:rPr>
        <w:t>Z</w:t>
      </w:r>
      <w:r w:rsidRPr="007607C7">
        <w:rPr>
          <w:rFonts w:ascii="Arial" w:hAnsi="Arial" w:cs="Arial"/>
          <w:sz w:val="18"/>
          <w:szCs w:val="18"/>
        </w:rPr>
        <w:t>ahraničním pojištěncům v souladu s</w:t>
      </w:r>
      <w:r w:rsidR="007A66EC">
        <w:rPr>
          <w:rFonts w:ascii="Arial" w:hAnsi="Arial" w:cs="Arial"/>
          <w:sz w:val="18"/>
          <w:szCs w:val="18"/>
        </w:rPr>
        <w:t xml:space="preserve"> uvedeným </w:t>
      </w:r>
      <w:r w:rsidRPr="007607C7">
        <w:rPr>
          <w:rFonts w:ascii="Arial" w:hAnsi="Arial" w:cs="Arial"/>
          <w:sz w:val="18"/>
          <w:szCs w:val="18"/>
        </w:rPr>
        <w:t>metodickým pokynem Ministerstva zdravotnictví</w:t>
      </w:r>
      <w:r w:rsidR="007A66EC">
        <w:rPr>
          <w:rFonts w:ascii="Arial" w:hAnsi="Arial" w:cs="Arial"/>
          <w:sz w:val="18"/>
          <w:szCs w:val="18"/>
        </w:rPr>
        <w:t xml:space="preserve"> ČR</w:t>
      </w:r>
      <w:r w:rsidRPr="007607C7">
        <w:rPr>
          <w:rFonts w:ascii="Arial" w:hAnsi="Arial" w:cs="Arial"/>
          <w:sz w:val="18"/>
          <w:szCs w:val="18"/>
        </w:rPr>
        <w:t xml:space="preserve">, a to samostatnou fakturou a dávkou. Přílohou vyúčtování musí být vyplněné „Potvrzení o nároku cizího pojištěnce“ s tím, že „Potvrzení o nároku cizího pojištěnce“ není nutné dokládat v případě, že se </w:t>
      </w:r>
      <w:r w:rsidR="00DE51C4">
        <w:rPr>
          <w:rFonts w:ascii="Arial" w:hAnsi="Arial" w:cs="Arial"/>
          <w:sz w:val="18"/>
          <w:szCs w:val="18"/>
        </w:rPr>
        <w:t>Z</w:t>
      </w:r>
      <w:r w:rsidRPr="007607C7">
        <w:rPr>
          <w:rFonts w:ascii="Arial" w:hAnsi="Arial" w:cs="Arial"/>
          <w:sz w:val="18"/>
          <w:szCs w:val="18"/>
        </w:rPr>
        <w:t>ahraniční pojištěnec prokázal platným „Potvrzením o registraci“ vydaným Zdravotní pojišťovnou.</w:t>
      </w:r>
    </w:p>
    <w:p w14:paraId="65184D0C" w14:textId="77777777" w:rsidR="00BE71D6" w:rsidRPr="007607C7" w:rsidRDefault="00BE71D6" w:rsidP="005779B8">
      <w:pPr>
        <w:pStyle w:val="Zkladntext"/>
        <w:ind w:left="426"/>
        <w:rPr>
          <w:rFonts w:ascii="Arial" w:hAnsi="Arial" w:cs="Arial"/>
          <w:sz w:val="18"/>
          <w:szCs w:val="18"/>
        </w:rPr>
      </w:pPr>
    </w:p>
    <w:p w14:paraId="65184D0E" w14:textId="77777777" w:rsidR="004C1152" w:rsidRPr="007607C7" w:rsidRDefault="004C1152" w:rsidP="00EE4DC2">
      <w:pPr>
        <w:pStyle w:val="Zkladntext"/>
        <w:tabs>
          <w:tab w:val="num" w:pos="426"/>
        </w:tabs>
        <w:ind w:left="426" w:hanging="426"/>
        <w:jc w:val="center"/>
        <w:outlineLvl w:val="0"/>
        <w:rPr>
          <w:rFonts w:ascii="Arial" w:hAnsi="Arial" w:cs="Arial"/>
          <w:b/>
          <w:sz w:val="18"/>
          <w:szCs w:val="18"/>
        </w:rPr>
      </w:pPr>
      <w:r w:rsidRPr="007607C7">
        <w:rPr>
          <w:rFonts w:ascii="Arial" w:hAnsi="Arial" w:cs="Arial"/>
          <w:b/>
          <w:sz w:val="18"/>
          <w:szCs w:val="18"/>
        </w:rPr>
        <w:t>II.</w:t>
      </w:r>
    </w:p>
    <w:p w14:paraId="70458E69" w14:textId="31B968C3" w:rsidR="008A7986" w:rsidRPr="003E1495" w:rsidRDefault="008A7986" w:rsidP="008A7986">
      <w:pPr>
        <w:pStyle w:val="Textbody"/>
        <w:numPr>
          <w:ilvl w:val="0"/>
          <w:numId w:val="8"/>
        </w:numPr>
        <w:tabs>
          <w:tab w:val="left" w:pos="426"/>
        </w:tabs>
        <w:spacing w:after="0"/>
        <w:ind w:left="395" w:hanging="341"/>
        <w:jc w:val="both"/>
        <w:rPr>
          <w:rFonts w:ascii="Arial" w:hAnsi="Arial"/>
          <w:sz w:val="18"/>
          <w:szCs w:val="18"/>
        </w:rPr>
      </w:pPr>
      <w:r>
        <w:rPr>
          <w:rFonts w:ascii="Arial" w:hAnsi="Arial"/>
          <w:sz w:val="18"/>
          <w:szCs w:val="18"/>
        </w:rPr>
        <w:t xml:space="preserve">Smluvní </w:t>
      </w:r>
      <w:r w:rsidRPr="003E1495">
        <w:rPr>
          <w:rFonts w:ascii="Arial" w:hAnsi="Arial"/>
          <w:sz w:val="18"/>
          <w:szCs w:val="18"/>
        </w:rPr>
        <w:t xml:space="preserve">strany se dohodly, </w:t>
      </w:r>
      <w:r w:rsidR="003E1495" w:rsidRPr="00131907">
        <w:rPr>
          <w:rFonts w:ascii="Arial" w:hAnsi="Arial"/>
          <w:sz w:val="18"/>
          <w:szCs w:val="18"/>
        </w:rPr>
        <w:t xml:space="preserve">že </w:t>
      </w:r>
      <w:r w:rsidR="003E1495" w:rsidRPr="00131907">
        <w:rPr>
          <w:rFonts w:ascii="Arial" w:hAnsi="Arial"/>
          <w:b/>
          <w:sz w:val="18"/>
          <w:szCs w:val="18"/>
        </w:rPr>
        <w:t xml:space="preserve">zdravotní služby v oboru zubní lékařství, </w:t>
      </w:r>
      <w:r w:rsidR="003E1495" w:rsidRPr="00131907">
        <w:rPr>
          <w:rFonts w:ascii="Arial" w:hAnsi="Arial"/>
          <w:sz w:val="18"/>
          <w:szCs w:val="18"/>
        </w:rPr>
        <w:t xml:space="preserve">poskytnuté </w:t>
      </w:r>
      <w:r w:rsidR="003E1495" w:rsidRPr="00695EFD">
        <w:rPr>
          <w:rFonts w:ascii="Arial" w:hAnsi="Arial"/>
          <w:sz w:val="18"/>
          <w:szCs w:val="18"/>
        </w:rPr>
        <w:t>Poskytovatelem</w:t>
      </w:r>
      <w:r w:rsidR="003E1495" w:rsidRPr="003E1495">
        <w:rPr>
          <w:rFonts w:ascii="Arial" w:hAnsi="Arial"/>
          <w:sz w:val="18"/>
          <w:szCs w:val="18"/>
        </w:rPr>
        <w:t xml:space="preserve"> </w:t>
      </w:r>
      <w:r w:rsidR="003E1495" w:rsidRPr="00131907">
        <w:rPr>
          <w:rFonts w:ascii="Arial" w:hAnsi="Arial"/>
          <w:sz w:val="18"/>
          <w:szCs w:val="18"/>
        </w:rPr>
        <w:t>pojištěncům</w:t>
      </w:r>
      <w:r w:rsidR="003E1495" w:rsidRPr="00131907">
        <w:rPr>
          <w:rFonts w:ascii="Arial" w:hAnsi="Arial"/>
          <w:b/>
          <w:sz w:val="18"/>
          <w:szCs w:val="18"/>
        </w:rPr>
        <w:t xml:space="preserve"> </w:t>
      </w:r>
      <w:r w:rsidR="003E1495" w:rsidRPr="00131907">
        <w:rPr>
          <w:rFonts w:ascii="Arial" w:hAnsi="Arial"/>
          <w:sz w:val="18"/>
          <w:szCs w:val="18"/>
        </w:rPr>
        <w:t>Zdravotní pojišťovny a Zahraničním pojištěncům,</w:t>
      </w:r>
      <w:r w:rsidR="003E1495" w:rsidRPr="00131907">
        <w:rPr>
          <w:rFonts w:ascii="Arial" w:hAnsi="Arial"/>
          <w:b/>
          <w:sz w:val="18"/>
          <w:szCs w:val="18"/>
        </w:rPr>
        <w:t xml:space="preserve"> budou v roce 202</w:t>
      </w:r>
      <w:r w:rsidR="0017441F">
        <w:rPr>
          <w:rFonts w:ascii="Arial" w:hAnsi="Arial"/>
          <w:b/>
          <w:sz w:val="18"/>
          <w:szCs w:val="18"/>
        </w:rPr>
        <w:t>2</w:t>
      </w:r>
      <w:r w:rsidR="003E1495" w:rsidRPr="00131907">
        <w:rPr>
          <w:rFonts w:ascii="Arial" w:hAnsi="Arial"/>
          <w:b/>
          <w:sz w:val="18"/>
          <w:szCs w:val="18"/>
        </w:rPr>
        <w:t xml:space="preserve"> hrazeny následovně</w:t>
      </w:r>
      <w:r w:rsidR="003E1495" w:rsidRPr="00131907">
        <w:rPr>
          <w:rFonts w:ascii="Arial" w:hAnsi="Arial"/>
          <w:sz w:val="18"/>
          <w:szCs w:val="18"/>
        </w:rPr>
        <w:t>:</w:t>
      </w:r>
    </w:p>
    <w:p w14:paraId="65EF774E" w14:textId="32A8ACFD" w:rsidR="00B97483" w:rsidRDefault="00B97483" w:rsidP="00131907">
      <w:pPr>
        <w:pStyle w:val="Textbody"/>
        <w:numPr>
          <w:ilvl w:val="1"/>
          <w:numId w:val="10"/>
        </w:numPr>
        <w:spacing w:after="0"/>
        <w:ind w:left="709" w:hanging="283"/>
        <w:jc w:val="both"/>
        <w:rPr>
          <w:rFonts w:ascii="Arial" w:hAnsi="Arial"/>
          <w:sz w:val="18"/>
          <w:szCs w:val="18"/>
        </w:rPr>
      </w:pPr>
      <w:r w:rsidRPr="00D41321">
        <w:rPr>
          <w:rFonts w:ascii="Arial" w:hAnsi="Arial"/>
          <w:b/>
          <w:sz w:val="18"/>
          <w:szCs w:val="18"/>
        </w:rPr>
        <w:t>Agregovaná úhrada za registrovaného pojištěnce</w:t>
      </w:r>
      <w:r>
        <w:rPr>
          <w:rFonts w:ascii="Arial" w:hAnsi="Arial"/>
          <w:sz w:val="18"/>
          <w:szCs w:val="18"/>
        </w:rPr>
        <w:t xml:space="preserve"> bude hrazena </w:t>
      </w:r>
      <w:r w:rsidR="004608C8">
        <w:rPr>
          <w:rFonts w:ascii="Arial" w:hAnsi="Arial"/>
          <w:sz w:val="18"/>
          <w:szCs w:val="18"/>
        </w:rPr>
        <w:t>ve smyslu</w:t>
      </w:r>
      <w:r w:rsidR="00D619D4" w:rsidRPr="00131907">
        <w:rPr>
          <w:rFonts w:ascii="Arial" w:hAnsi="Arial"/>
          <w:sz w:val="18"/>
          <w:szCs w:val="18"/>
        </w:rPr>
        <w:t> </w:t>
      </w:r>
      <w:r w:rsidR="00D619D4">
        <w:rPr>
          <w:rFonts w:ascii="Arial" w:hAnsi="Arial"/>
          <w:sz w:val="18"/>
          <w:szCs w:val="18"/>
        </w:rPr>
        <w:t>p</w:t>
      </w:r>
      <w:r w:rsidR="00D619D4" w:rsidRPr="00131907">
        <w:rPr>
          <w:rFonts w:ascii="Arial" w:hAnsi="Arial"/>
          <w:sz w:val="18"/>
          <w:szCs w:val="18"/>
        </w:rPr>
        <w:t>řílo</w:t>
      </w:r>
      <w:r w:rsidR="004608C8">
        <w:rPr>
          <w:rFonts w:ascii="Arial" w:hAnsi="Arial"/>
          <w:sz w:val="18"/>
          <w:szCs w:val="18"/>
        </w:rPr>
        <w:t>hy</w:t>
      </w:r>
      <w:r w:rsidR="00D619D4" w:rsidRPr="00131907">
        <w:rPr>
          <w:rFonts w:ascii="Arial" w:hAnsi="Arial"/>
          <w:sz w:val="18"/>
          <w:szCs w:val="18"/>
        </w:rPr>
        <w:t xml:space="preserve"> č. 11</w:t>
      </w:r>
      <w:r w:rsidR="00D619D4">
        <w:rPr>
          <w:rFonts w:ascii="Arial" w:hAnsi="Arial"/>
          <w:sz w:val="18"/>
          <w:szCs w:val="18"/>
        </w:rPr>
        <w:t>, část A),</w:t>
      </w:r>
      <w:r w:rsidR="00D619D4" w:rsidRPr="00131907">
        <w:rPr>
          <w:rFonts w:ascii="Arial" w:hAnsi="Arial"/>
          <w:sz w:val="18"/>
          <w:szCs w:val="18"/>
        </w:rPr>
        <w:t xml:space="preserve"> vyhlášky č. </w:t>
      </w:r>
      <w:r w:rsidR="00D619D4">
        <w:rPr>
          <w:rFonts w:ascii="Arial" w:hAnsi="Arial"/>
          <w:sz w:val="18"/>
          <w:szCs w:val="18"/>
        </w:rPr>
        <w:t>396</w:t>
      </w:r>
      <w:r w:rsidR="00D619D4" w:rsidRPr="00131907">
        <w:rPr>
          <w:rFonts w:ascii="Arial" w:hAnsi="Arial"/>
          <w:sz w:val="18"/>
          <w:szCs w:val="18"/>
        </w:rPr>
        <w:t>/202</w:t>
      </w:r>
      <w:r w:rsidR="00D619D4">
        <w:rPr>
          <w:rFonts w:ascii="Arial" w:hAnsi="Arial"/>
          <w:sz w:val="18"/>
          <w:szCs w:val="18"/>
        </w:rPr>
        <w:t>1</w:t>
      </w:r>
      <w:r w:rsidR="00D619D4" w:rsidRPr="00131907">
        <w:rPr>
          <w:rFonts w:ascii="Arial" w:hAnsi="Arial"/>
          <w:sz w:val="18"/>
          <w:szCs w:val="18"/>
        </w:rPr>
        <w:t xml:space="preserve"> Sb., o stanovení hodnot bodu, výše úhrad hrazených služeb a regulačních omezení pro rok 202</w:t>
      </w:r>
      <w:r w:rsidR="00D619D4">
        <w:rPr>
          <w:rFonts w:ascii="Arial" w:hAnsi="Arial"/>
          <w:sz w:val="18"/>
          <w:szCs w:val="18"/>
        </w:rPr>
        <w:t>2</w:t>
      </w:r>
      <w:r w:rsidR="00D619D4" w:rsidRPr="003E1495">
        <w:rPr>
          <w:rFonts w:ascii="Arial" w:hAnsi="Arial"/>
          <w:sz w:val="18"/>
          <w:szCs w:val="18"/>
        </w:rPr>
        <w:t xml:space="preserve"> (dále jen „Vyhláška“)</w:t>
      </w:r>
      <w:r>
        <w:rPr>
          <w:rFonts w:ascii="Arial" w:hAnsi="Arial"/>
          <w:sz w:val="18"/>
          <w:szCs w:val="18"/>
        </w:rPr>
        <w:t xml:space="preserve"> za </w:t>
      </w:r>
      <w:r w:rsidR="00D619D4">
        <w:rPr>
          <w:rFonts w:ascii="Arial" w:hAnsi="Arial"/>
          <w:sz w:val="18"/>
          <w:szCs w:val="18"/>
        </w:rPr>
        <w:t xml:space="preserve">těchto </w:t>
      </w:r>
      <w:r>
        <w:rPr>
          <w:rFonts w:ascii="Arial" w:hAnsi="Arial"/>
          <w:sz w:val="18"/>
          <w:szCs w:val="18"/>
        </w:rPr>
        <w:t>podmínek:</w:t>
      </w:r>
    </w:p>
    <w:p w14:paraId="4A165B3C" w14:textId="5233A6B3" w:rsidR="00B97483" w:rsidRDefault="00B97483" w:rsidP="00B97483">
      <w:pPr>
        <w:pStyle w:val="Textbody"/>
        <w:spacing w:after="0"/>
        <w:ind w:left="709"/>
        <w:jc w:val="both"/>
        <w:rPr>
          <w:rFonts w:ascii="Arial" w:hAnsi="Arial"/>
          <w:sz w:val="18"/>
          <w:szCs w:val="18"/>
        </w:rPr>
      </w:pPr>
      <w:r>
        <w:rPr>
          <w:rFonts w:ascii="Arial" w:hAnsi="Arial"/>
          <w:sz w:val="18"/>
          <w:szCs w:val="18"/>
        </w:rPr>
        <w:t xml:space="preserve">Výše agregované úhrady na jednoho registrovaného pojištěnce Pojišťovny </w:t>
      </w:r>
      <w:r w:rsidR="00D41321">
        <w:rPr>
          <w:rFonts w:ascii="Arial" w:hAnsi="Arial"/>
          <w:sz w:val="18"/>
          <w:szCs w:val="18"/>
        </w:rPr>
        <w:t>na kalendářní měsíc bude činit:</w:t>
      </w:r>
    </w:p>
    <w:p w14:paraId="228EEFA1" w14:textId="069A74A5" w:rsidR="00D41321" w:rsidRDefault="00D41321" w:rsidP="00D41321">
      <w:pPr>
        <w:pStyle w:val="Textbody"/>
        <w:numPr>
          <w:ilvl w:val="0"/>
          <w:numId w:val="14"/>
        </w:numPr>
        <w:spacing w:after="0"/>
        <w:jc w:val="both"/>
        <w:rPr>
          <w:rFonts w:ascii="Arial" w:hAnsi="Arial"/>
          <w:sz w:val="18"/>
          <w:szCs w:val="18"/>
        </w:rPr>
      </w:pPr>
      <w:r w:rsidRPr="00D41321">
        <w:rPr>
          <w:rFonts w:ascii="Arial" w:hAnsi="Arial"/>
          <w:b/>
          <w:sz w:val="18"/>
          <w:szCs w:val="18"/>
        </w:rPr>
        <w:t>18 Kč</w:t>
      </w:r>
      <w:r>
        <w:rPr>
          <w:rFonts w:ascii="Arial" w:hAnsi="Arial"/>
          <w:sz w:val="18"/>
          <w:szCs w:val="18"/>
        </w:rPr>
        <w:t xml:space="preserve"> v případě, že Poskytovatel nejpozději do 31.1.2022 doloží, že registrující lékař pojištěnce je držitelem platného dokladu celoživotního vzdělávání zubních lékařů, přičemž za platný doklad celoživotního vzdělávání se považuje doklad, který je platný po celý rok 2022; tato podmínka se považuje za splněnou i v případě, že Poskytovatel do jednoho měsíce po skončení platnosti dokladu celoživotního vzdělávání doručí Zdravotní pojišťovně nový doklad celoživotního </w:t>
      </w:r>
      <w:r w:rsidR="00B141C1">
        <w:rPr>
          <w:rFonts w:ascii="Arial" w:hAnsi="Arial"/>
          <w:sz w:val="18"/>
          <w:szCs w:val="18"/>
        </w:rPr>
        <w:t>v</w:t>
      </w:r>
      <w:r>
        <w:rPr>
          <w:rFonts w:ascii="Arial" w:hAnsi="Arial"/>
          <w:sz w:val="18"/>
          <w:szCs w:val="18"/>
        </w:rPr>
        <w:t>zdělávání, přičemž období mezi datem ukončení platnosti původního dokladu a datem nabytí platnosti nového dokladu nečiní více než 30 kalendářních dnů</w:t>
      </w:r>
      <w:r w:rsidR="00B141C1">
        <w:rPr>
          <w:rFonts w:ascii="Arial" w:hAnsi="Arial"/>
          <w:sz w:val="18"/>
          <w:szCs w:val="18"/>
        </w:rPr>
        <w:t xml:space="preserve">. Pokud </w:t>
      </w:r>
      <w:r w:rsidR="00B141C1" w:rsidRPr="00B141C1">
        <w:rPr>
          <w:rFonts w:ascii="Arial" w:hAnsi="Arial" w:cs="Arial"/>
          <w:sz w:val="18"/>
          <w:szCs w:val="18"/>
        </w:rPr>
        <w:t xml:space="preserve">Poskytovatel </w:t>
      </w:r>
      <w:proofErr w:type="gramStart"/>
      <w:r w:rsidR="00B141C1" w:rsidRPr="00B141C1">
        <w:rPr>
          <w:rFonts w:ascii="Arial" w:hAnsi="Arial" w:cs="Arial"/>
          <w:sz w:val="18"/>
          <w:szCs w:val="18"/>
        </w:rPr>
        <w:t>doloží</w:t>
      </w:r>
      <w:proofErr w:type="gramEnd"/>
      <w:r w:rsidR="00B141C1" w:rsidRPr="00B141C1">
        <w:rPr>
          <w:rFonts w:ascii="Arial" w:hAnsi="Arial" w:cs="Arial"/>
          <w:sz w:val="18"/>
          <w:szCs w:val="18"/>
        </w:rPr>
        <w:t xml:space="preserve"> doklad celoživotního vzdělávání zubních lékařů v průběhu roku 2022</w:t>
      </w:r>
      <w:r w:rsidR="00B141C1">
        <w:rPr>
          <w:rFonts w:ascii="Arial" w:hAnsi="Arial" w:cs="Arial"/>
          <w:sz w:val="18"/>
          <w:szCs w:val="18"/>
        </w:rPr>
        <w:t>,</w:t>
      </w:r>
      <w:r w:rsidR="00B141C1" w:rsidRPr="00B141C1">
        <w:rPr>
          <w:rFonts w:ascii="Arial" w:hAnsi="Arial" w:cs="Arial"/>
          <w:sz w:val="18"/>
          <w:szCs w:val="18"/>
        </w:rPr>
        <w:t xml:space="preserve"> </w:t>
      </w:r>
      <w:r w:rsidR="00B141C1">
        <w:rPr>
          <w:rFonts w:ascii="Arial" w:hAnsi="Arial" w:cs="Arial"/>
          <w:sz w:val="18"/>
          <w:szCs w:val="18"/>
        </w:rPr>
        <w:t>bude</w:t>
      </w:r>
      <w:r w:rsidR="00B141C1" w:rsidRPr="00B141C1">
        <w:rPr>
          <w:rFonts w:ascii="Arial" w:hAnsi="Arial" w:cs="Arial"/>
          <w:sz w:val="18"/>
          <w:szCs w:val="18"/>
        </w:rPr>
        <w:t xml:space="preserve"> základní agregovaná úhrada navýšena o 2,- Kč od prvního dne následujícího měsíce po předložení dokladu</w:t>
      </w:r>
      <w:r w:rsidR="00B141C1">
        <w:rPr>
          <w:rFonts w:ascii="Arial" w:hAnsi="Arial" w:cs="Arial"/>
          <w:sz w:val="18"/>
          <w:szCs w:val="18"/>
        </w:rPr>
        <w:t>,</w:t>
      </w:r>
    </w:p>
    <w:p w14:paraId="03870A2D" w14:textId="62251344" w:rsidR="00D41321" w:rsidRDefault="00D41321" w:rsidP="00D41321">
      <w:pPr>
        <w:pStyle w:val="Textbody"/>
        <w:numPr>
          <w:ilvl w:val="0"/>
          <w:numId w:val="14"/>
        </w:numPr>
        <w:spacing w:after="0"/>
        <w:jc w:val="both"/>
        <w:rPr>
          <w:rFonts w:ascii="Arial" w:hAnsi="Arial"/>
          <w:sz w:val="18"/>
          <w:szCs w:val="18"/>
        </w:rPr>
      </w:pPr>
      <w:r>
        <w:rPr>
          <w:rFonts w:ascii="Arial" w:hAnsi="Arial"/>
          <w:b/>
          <w:sz w:val="18"/>
          <w:szCs w:val="18"/>
        </w:rPr>
        <w:t>16 Kč</w:t>
      </w:r>
      <w:r>
        <w:rPr>
          <w:rFonts w:ascii="Arial" w:hAnsi="Arial"/>
          <w:sz w:val="18"/>
          <w:szCs w:val="18"/>
        </w:rPr>
        <w:t xml:space="preserve"> v ostatních případech</w:t>
      </w:r>
      <w:r w:rsidR="006F177D">
        <w:rPr>
          <w:rFonts w:ascii="Arial" w:hAnsi="Arial"/>
          <w:sz w:val="18"/>
          <w:szCs w:val="18"/>
        </w:rPr>
        <w:t xml:space="preserve"> (také jen „základní agregovaná úhrada“)</w:t>
      </w:r>
      <w:r w:rsidR="00B141C1">
        <w:rPr>
          <w:rFonts w:ascii="Arial" w:hAnsi="Arial"/>
          <w:sz w:val="18"/>
          <w:szCs w:val="18"/>
        </w:rPr>
        <w:t>.</w:t>
      </w:r>
    </w:p>
    <w:p w14:paraId="63F45385" w14:textId="1422F6D2" w:rsidR="00D41321" w:rsidRDefault="00D41321" w:rsidP="00D41321">
      <w:pPr>
        <w:pStyle w:val="Textbody"/>
        <w:spacing w:after="0"/>
        <w:ind w:left="708"/>
        <w:jc w:val="both"/>
        <w:rPr>
          <w:rFonts w:ascii="Arial" w:hAnsi="Arial"/>
          <w:sz w:val="18"/>
          <w:szCs w:val="18"/>
        </w:rPr>
      </w:pPr>
      <w:r w:rsidRPr="00D41321">
        <w:rPr>
          <w:rFonts w:ascii="Arial" w:hAnsi="Arial"/>
          <w:sz w:val="18"/>
          <w:szCs w:val="18"/>
        </w:rPr>
        <w:t>Celková výše měsíční úhrady</w:t>
      </w:r>
      <w:r>
        <w:rPr>
          <w:rFonts w:ascii="Arial" w:hAnsi="Arial"/>
          <w:sz w:val="18"/>
          <w:szCs w:val="18"/>
        </w:rPr>
        <w:t xml:space="preserve"> za agregovanou úhradu se vypočte jako součin počtu registrovaných pojištěnců Zdravotní pojišťovny </w:t>
      </w:r>
      <w:r w:rsidR="0091792F">
        <w:rPr>
          <w:rFonts w:ascii="Arial" w:hAnsi="Arial"/>
          <w:sz w:val="18"/>
          <w:szCs w:val="18"/>
        </w:rPr>
        <w:t>v příslušném kalendářním měsíci roku 2022 a agregované úhrady na jednoho registrovaného pojištěnce Zdravotní pojišťovny podle výše uvedených bodů.</w:t>
      </w:r>
    </w:p>
    <w:p w14:paraId="7E77106C" w14:textId="66713E60" w:rsidR="0091792F" w:rsidRDefault="0091792F" w:rsidP="00D41321">
      <w:pPr>
        <w:pStyle w:val="Textbody"/>
        <w:spacing w:after="0"/>
        <w:ind w:left="708"/>
        <w:jc w:val="both"/>
        <w:rPr>
          <w:rFonts w:ascii="Arial" w:hAnsi="Arial"/>
          <w:sz w:val="18"/>
          <w:szCs w:val="18"/>
        </w:rPr>
      </w:pPr>
      <w:r>
        <w:rPr>
          <w:rFonts w:ascii="Arial" w:hAnsi="Arial"/>
          <w:sz w:val="18"/>
          <w:szCs w:val="18"/>
        </w:rPr>
        <w:t>Smluvní strany se dohodly, že do agregované úhrady za registrovaného pojištěnce jsou zahrnuty tyto činnosti:</w:t>
      </w:r>
    </w:p>
    <w:p w14:paraId="0BEB5B5F" w14:textId="61158675" w:rsidR="0091792F" w:rsidRDefault="00435E9D" w:rsidP="0091792F">
      <w:pPr>
        <w:pStyle w:val="Textbody"/>
        <w:numPr>
          <w:ilvl w:val="0"/>
          <w:numId w:val="16"/>
        </w:numPr>
        <w:spacing w:after="0"/>
        <w:jc w:val="both"/>
        <w:rPr>
          <w:rFonts w:ascii="Arial" w:hAnsi="Arial"/>
          <w:sz w:val="18"/>
          <w:szCs w:val="18"/>
        </w:rPr>
      </w:pPr>
      <w:r>
        <w:rPr>
          <w:rFonts w:ascii="Arial" w:hAnsi="Arial"/>
          <w:sz w:val="18"/>
          <w:szCs w:val="18"/>
        </w:rPr>
        <w:t>p</w:t>
      </w:r>
      <w:r w:rsidR="0091792F">
        <w:rPr>
          <w:rFonts w:ascii="Arial" w:hAnsi="Arial"/>
          <w:sz w:val="18"/>
          <w:szCs w:val="18"/>
        </w:rPr>
        <w:t xml:space="preserve">rovizorní výplně, zábrusy a přeleštění ostrých hran zubů a výplní, aplikace slizniční anestézie, ošetřování běžných afekcí a zánětů gingivy a sliznice dutiny ústní, </w:t>
      </w:r>
      <w:proofErr w:type="spellStart"/>
      <w:r w:rsidR="0091792F">
        <w:rPr>
          <w:rFonts w:ascii="Arial" w:hAnsi="Arial"/>
          <w:sz w:val="18"/>
          <w:szCs w:val="18"/>
        </w:rPr>
        <w:t>parodontu</w:t>
      </w:r>
      <w:proofErr w:type="spellEnd"/>
      <w:r w:rsidR="0091792F">
        <w:rPr>
          <w:rFonts w:ascii="Arial" w:hAnsi="Arial"/>
          <w:sz w:val="18"/>
          <w:szCs w:val="18"/>
        </w:rPr>
        <w:t xml:space="preserve"> (zejména </w:t>
      </w:r>
      <w:proofErr w:type="spellStart"/>
      <w:r w:rsidR="0091792F">
        <w:rPr>
          <w:rFonts w:ascii="Arial" w:hAnsi="Arial"/>
          <w:sz w:val="18"/>
          <w:szCs w:val="18"/>
        </w:rPr>
        <w:t>parodontální</w:t>
      </w:r>
      <w:proofErr w:type="spellEnd"/>
      <w:r w:rsidR="0091792F">
        <w:rPr>
          <w:rFonts w:ascii="Arial" w:hAnsi="Arial"/>
          <w:sz w:val="18"/>
          <w:szCs w:val="18"/>
        </w:rPr>
        <w:t xml:space="preserve"> absces, ošetření afty, </w:t>
      </w:r>
      <w:proofErr w:type="spellStart"/>
      <w:r w:rsidR="0091792F">
        <w:rPr>
          <w:rFonts w:ascii="Arial" w:hAnsi="Arial"/>
          <w:sz w:val="18"/>
          <w:szCs w:val="18"/>
        </w:rPr>
        <w:t>herpesu</w:t>
      </w:r>
      <w:proofErr w:type="spellEnd"/>
      <w:r w:rsidR="0091792F">
        <w:rPr>
          <w:rFonts w:ascii="Arial" w:hAnsi="Arial"/>
          <w:sz w:val="18"/>
          <w:szCs w:val="18"/>
        </w:rPr>
        <w:t xml:space="preserve"> nebo dekubitu způsobeného snímací náhradou), </w:t>
      </w:r>
      <w:r w:rsidR="00A9372F">
        <w:rPr>
          <w:rFonts w:ascii="Arial" w:hAnsi="Arial"/>
          <w:sz w:val="18"/>
          <w:szCs w:val="18"/>
        </w:rPr>
        <w:t xml:space="preserve">konzervativní ošetření </w:t>
      </w:r>
      <w:proofErr w:type="spellStart"/>
      <w:r w:rsidR="00A9372F">
        <w:rPr>
          <w:rFonts w:ascii="Arial" w:hAnsi="Arial"/>
          <w:sz w:val="18"/>
          <w:szCs w:val="18"/>
        </w:rPr>
        <w:t>dentitio</w:t>
      </w:r>
      <w:proofErr w:type="spellEnd"/>
      <w:r w:rsidR="00A9372F">
        <w:rPr>
          <w:rFonts w:ascii="Arial" w:hAnsi="Arial"/>
          <w:sz w:val="18"/>
          <w:szCs w:val="18"/>
        </w:rPr>
        <w:t xml:space="preserve"> </w:t>
      </w:r>
      <w:proofErr w:type="spellStart"/>
      <w:r w:rsidR="00A9372F">
        <w:rPr>
          <w:rFonts w:ascii="Arial" w:hAnsi="Arial"/>
          <w:sz w:val="18"/>
          <w:szCs w:val="18"/>
        </w:rPr>
        <w:t>difficilis</w:t>
      </w:r>
      <w:proofErr w:type="spellEnd"/>
      <w:r w:rsidR="00A9372F">
        <w:rPr>
          <w:rFonts w:ascii="Arial" w:hAnsi="Arial"/>
          <w:sz w:val="18"/>
          <w:szCs w:val="18"/>
        </w:rPr>
        <w:t xml:space="preserve"> bez ohledu na počet návštěv,</w:t>
      </w:r>
    </w:p>
    <w:p w14:paraId="47117A06" w14:textId="1291AE78" w:rsidR="00A9372F" w:rsidRDefault="00435E9D" w:rsidP="0091792F">
      <w:pPr>
        <w:pStyle w:val="Textbody"/>
        <w:numPr>
          <w:ilvl w:val="0"/>
          <w:numId w:val="16"/>
        </w:numPr>
        <w:spacing w:after="0"/>
        <w:jc w:val="both"/>
        <w:rPr>
          <w:rFonts w:ascii="Arial" w:hAnsi="Arial"/>
          <w:sz w:val="18"/>
          <w:szCs w:val="18"/>
        </w:rPr>
      </w:pPr>
      <w:r>
        <w:rPr>
          <w:rFonts w:ascii="Arial" w:hAnsi="Arial"/>
          <w:sz w:val="18"/>
          <w:szCs w:val="18"/>
        </w:rPr>
        <w:t>l</w:t>
      </w:r>
      <w:r w:rsidR="00A9372F">
        <w:rPr>
          <w:rFonts w:ascii="Arial" w:hAnsi="Arial"/>
          <w:sz w:val="18"/>
          <w:szCs w:val="18"/>
        </w:rPr>
        <w:t>okální fluoridace s vysušením podle přílohy č. 1 zákona</w:t>
      </w:r>
      <w:r>
        <w:rPr>
          <w:rFonts w:ascii="Arial" w:hAnsi="Arial"/>
          <w:sz w:val="18"/>
          <w:szCs w:val="18"/>
        </w:rPr>
        <w:t>,</w:t>
      </w:r>
    </w:p>
    <w:p w14:paraId="56B2F25E" w14:textId="7B26CD19" w:rsidR="00A9372F" w:rsidRDefault="00435E9D" w:rsidP="0091792F">
      <w:pPr>
        <w:pStyle w:val="Textbody"/>
        <w:numPr>
          <w:ilvl w:val="0"/>
          <w:numId w:val="16"/>
        </w:numPr>
        <w:spacing w:after="0"/>
        <w:jc w:val="both"/>
        <w:rPr>
          <w:rFonts w:ascii="Arial" w:hAnsi="Arial"/>
          <w:sz w:val="18"/>
          <w:szCs w:val="18"/>
        </w:rPr>
      </w:pPr>
      <w:r>
        <w:rPr>
          <w:rFonts w:ascii="Arial" w:hAnsi="Arial"/>
          <w:sz w:val="18"/>
          <w:szCs w:val="18"/>
        </w:rPr>
        <w:t>p</w:t>
      </w:r>
      <w:r w:rsidR="00A9372F">
        <w:rPr>
          <w:rFonts w:ascii="Arial" w:hAnsi="Arial"/>
          <w:sz w:val="18"/>
          <w:szCs w:val="18"/>
        </w:rPr>
        <w:t>okud to vyžaduje zdravot</w:t>
      </w:r>
      <w:r>
        <w:rPr>
          <w:rFonts w:ascii="Arial" w:hAnsi="Arial"/>
          <w:sz w:val="18"/>
          <w:szCs w:val="18"/>
        </w:rPr>
        <w:t>n</w:t>
      </w:r>
      <w:r w:rsidR="00A9372F">
        <w:rPr>
          <w:rFonts w:ascii="Arial" w:hAnsi="Arial"/>
          <w:sz w:val="18"/>
          <w:szCs w:val="18"/>
        </w:rPr>
        <w:t xml:space="preserve">í stav pojištěnce nad 18 let věku, kontrola ústní hygieny, kontrola interdentální hygieny, motivace pojištěnce po orientačním vyšetření chrupu, </w:t>
      </w:r>
      <w:proofErr w:type="spellStart"/>
      <w:r w:rsidR="00A9372F">
        <w:rPr>
          <w:rFonts w:ascii="Arial" w:hAnsi="Arial"/>
          <w:sz w:val="18"/>
          <w:szCs w:val="18"/>
        </w:rPr>
        <w:t>paradontu</w:t>
      </w:r>
      <w:proofErr w:type="spellEnd"/>
      <w:r w:rsidR="00A9372F">
        <w:rPr>
          <w:rFonts w:ascii="Arial" w:hAnsi="Arial"/>
          <w:sz w:val="18"/>
          <w:szCs w:val="18"/>
        </w:rPr>
        <w:t>, sliznic a měkkých tkání dutiny ústní</w:t>
      </w:r>
      <w:r>
        <w:rPr>
          <w:rFonts w:ascii="Arial" w:hAnsi="Arial"/>
          <w:sz w:val="18"/>
          <w:szCs w:val="18"/>
        </w:rPr>
        <w:t>,</w:t>
      </w:r>
    </w:p>
    <w:p w14:paraId="1A972ABA" w14:textId="52411D26" w:rsidR="00435E9D" w:rsidRDefault="00435E9D" w:rsidP="0091792F">
      <w:pPr>
        <w:pStyle w:val="Textbody"/>
        <w:numPr>
          <w:ilvl w:val="0"/>
          <w:numId w:val="16"/>
        </w:numPr>
        <w:spacing w:after="0"/>
        <w:jc w:val="both"/>
        <w:rPr>
          <w:rFonts w:ascii="Arial" w:hAnsi="Arial"/>
          <w:sz w:val="18"/>
          <w:szCs w:val="18"/>
        </w:rPr>
      </w:pPr>
      <w:r>
        <w:rPr>
          <w:rFonts w:ascii="Arial" w:hAnsi="Arial"/>
          <w:sz w:val="18"/>
          <w:szCs w:val="18"/>
        </w:rPr>
        <w:t>vystavení a ukončení dočasné pracovní neschopnosti</w:t>
      </w:r>
    </w:p>
    <w:p w14:paraId="344EE8AE" w14:textId="219C7AAE" w:rsidR="00435E9D" w:rsidRDefault="00435E9D" w:rsidP="0091792F">
      <w:pPr>
        <w:pStyle w:val="Textbody"/>
        <w:numPr>
          <w:ilvl w:val="0"/>
          <w:numId w:val="16"/>
        </w:numPr>
        <w:spacing w:after="0"/>
        <w:jc w:val="both"/>
        <w:rPr>
          <w:rFonts w:ascii="Arial" w:hAnsi="Arial"/>
          <w:sz w:val="18"/>
          <w:szCs w:val="18"/>
        </w:rPr>
      </w:pPr>
      <w:r>
        <w:rPr>
          <w:rFonts w:ascii="Arial" w:hAnsi="Arial"/>
          <w:sz w:val="18"/>
          <w:szCs w:val="18"/>
        </w:rPr>
        <w:t>odeslání pojištěnce na specializované pracoviště či konzultace praktického lékaře nebo specialisty všeobecné medicíny</w:t>
      </w:r>
    </w:p>
    <w:p w14:paraId="0B1B1EC2" w14:textId="4EEC6034" w:rsidR="00435E9D" w:rsidRDefault="00435E9D" w:rsidP="0091792F">
      <w:pPr>
        <w:pStyle w:val="Textbody"/>
        <w:numPr>
          <w:ilvl w:val="0"/>
          <w:numId w:val="16"/>
        </w:numPr>
        <w:spacing w:after="0"/>
        <w:jc w:val="both"/>
        <w:rPr>
          <w:rFonts w:ascii="Arial" w:hAnsi="Arial"/>
          <w:sz w:val="18"/>
          <w:szCs w:val="18"/>
        </w:rPr>
      </w:pPr>
      <w:r>
        <w:rPr>
          <w:rFonts w:ascii="Arial" w:hAnsi="Arial"/>
          <w:sz w:val="18"/>
          <w:szCs w:val="18"/>
        </w:rPr>
        <w:lastRenderedPageBreak/>
        <w:t>předání kopie nebo výpisu zdravotnické dokumentace při změně registrujícího lékaře,</w:t>
      </w:r>
    </w:p>
    <w:p w14:paraId="2A77BF23" w14:textId="1F466B47" w:rsidR="00435E9D" w:rsidRDefault="00435E9D" w:rsidP="0091792F">
      <w:pPr>
        <w:pStyle w:val="Textbody"/>
        <w:numPr>
          <w:ilvl w:val="0"/>
          <w:numId w:val="16"/>
        </w:numPr>
        <w:spacing w:after="0"/>
        <w:jc w:val="both"/>
        <w:rPr>
          <w:rFonts w:ascii="Arial" w:hAnsi="Arial"/>
          <w:sz w:val="18"/>
          <w:szCs w:val="18"/>
        </w:rPr>
      </w:pPr>
      <w:r>
        <w:rPr>
          <w:rFonts w:ascii="Arial" w:hAnsi="Arial"/>
          <w:sz w:val="18"/>
          <w:szCs w:val="18"/>
        </w:rPr>
        <w:t>poučení pojištěnce, rozhodnutí o potřebě další návštěvy</w:t>
      </w:r>
    </w:p>
    <w:p w14:paraId="2A37793D" w14:textId="49FB6B44" w:rsidR="00B23601" w:rsidRPr="003E1495" w:rsidRDefault="00394D90" w:rsidP="00131907">
      <w:pPr>
        <w:pStyle w:val="Textbody"/>
        <w:numPr>
          <w:ilvl w:val="1"/>
          <w:numId w:val="10"/>
        </w:numPr>
        <w:spacing w:after="0"/>
        <w:ind w:left="709" w:hanging="283"/>
        <w:jc w:val="both"/>
        <w:rPr>
          <w:rFonts w:ascii="Arial" w:hAnsi="Arial"/>
          <w:sz w:val="18"/>
          <w:szCs w:val="18"/>
        </w:rPr>
      </w:pPr>
      <w:r>
        <w:rPr>
          <w:rFonts w:ascii="Arial" w:hAnsi="Arial"/>
          <w:sz w:val="18"/>
          <w:szCs w:val="18"/>
        </w:rPr>
        <w:t>H</w:t>
      </w:r>
      <w:r w:rsidR="008A7986" w:rsidRPr="003E1495">
        <w:rPr>
          <w:rFonts w:ascii="Arial" w:hAnsi="Arial"/>
          <w:sz w:val="18"/>
          <w:szCs w:val="18"/>
        </w:rPr>
        <w:t xml:space="preserve">razené zdravotní služby </w:t>
      </w:r>
      <w:r w:rsidR="008A7986" w:rsidRPr="00131907">
        <w:rPr>
          <w:rFonts w:ascii="Arial" w:hAnsi="Arial"/>
          <w:sz w:val="18"/>
          <w:szCs w:val="18"/>
        </w:rPr>
        <w:t xml:space="preserve">v oboru zubní lékařství </w:t>
      </w:r>
      <w:r w:rsidR="008A7986" w:rsidRPr="003E1495">
        <w:rPr>
          <w:rFonts w:ascii="Arial" w:hAnsi="Arial"/>
          <w:sz w:val="18"/>
          <w:szCs w:val="18"/>
        </w:rPr>
        <w:t xml:space="preserve">budou hrazeny </w:t>
      </w:r>
      <w:r w:rsidR="008A7986" w:rsidRPr="00131907">
        <w:rPr>
          <w:rFonts w:ascii="Arial" w:hAnsi="Arial"/>
          <w:sz w:val="18"/>
          <w:szCs w:val="18"/>
        </w:rPr>
        <w:t>ve výši úhrad a za podmínek uvedených v </w:t>
      </w:r>
      <w:r w:rsidR="007E2671">
        <w:rPr>
          <w:rFonts w:ascii="Arial" w:hAnsi="Arial"/>
          <w:sz w:val="18"/>
          <w:szCs w:val="18"/>
        </w:rPr>
        <w:t>p</w:t>
      </w:r>
      <w:r w:rsidR="008A7986" w:rsidRPr="00131907">
        <w:rPr>
          <w:rFonts w:ascii="Arial" w:hAnsi="Arial"/>
          <w:sz w:val="18"/>
          <w:szCs w:val="18"/>
        </w:rPr>
        <w:t>říloze č. 11</w:t>
      </w:r>
      <w:r w:rsidR="0017441F">
        <w:rPr>
          <w:rFonts w:ascii="Arial" w:hAnsi="Arial"/>
          <w:sz w:val="18"/>
          <w:szCs w:val="18"/>
        </w:rPr>
        <w:t>, část B),</w:t>
      </w:r>
      <w:r w:rsidR="008A7986" w:rsidRPr="00131907">
        <w:rPr>
          <w:rFonts w:ascii="Arial" w:hAnsi="Arial"/>
          <w:sz w:val="18"/>
          <w:szCs w:val="18"/>
        </w:rPr>
        <w:t> </w:t>
      </w:r>
      <w:r w:rsidR="00B97483">
        <w:rPr>
          <w:rFonts w:ascii="Arial" w:hAnsi="Arial"/>
          <w:sz w:val="18"/>
          <w:szCs w:val="18"/>
        </w:rPr>
        <w:t>V</w:t>
      </w:r>
      <w:r w:rsidR="008A7986" w:rsidRPr="00131907">
        <w:rPr>
          <w:rFonts w:ascii="Arial" w:hAnsi="Arial"/>
          <w:sz w:val="18"/>
          <w:szCs w:val="18"/>
        </w:rPr>
        <w:t>yhlášky</w:t>
      </w:r>
      <w:r w:rsidR="003E1495">
        <w:rPr>
          <w:rFonts w:ascii="Arial" w:hAnsi="Arial"/>
          <w:sz w:val="18"/>
          <w:szCs w:val="18"/>
        </w:rPr>
        <w:t>.</w:t>
      </w:r>
      <w:r w:rsidR="003E1495" w:rsidRPr="003E1495">
        <w:rPr>
          <w:rFonts w:ascii="Arial" w:hAnsi="Arial"/>
          <w:sz w:val="20"/>
          <w:szCs w:val="20"/>
        </w:rPr>
        <w:t xml:space="preserve"> </w:t>
      </w:r>
      <w:r w:rsidR="003E1495" w:rsidRPr="00131907">
        <w:rPr>
          <w:rFonts w:ascii="Arial" w:hAnsi="Arial"/>
          <w:sz w:val="18"/>
          <w:szCs w:val="18"/>
        </w:rPr>
        <w:t>Hrazenými zdravotními službami se rozumí zdravotní služby poskytované Poskytovatelem v oboru zubní lékařství, které jsou hrazené z veřejného zdravotního pojištění;</w:t>
      </w:r>
    </w:p>
    <w:p w14:paraId="110ADC4E" w14:textId="5BEB689E" w:rsidR="008A7986" w:rsidRPr="00DC394D" w:rsidRDefault="00131907" w:rsidP="00131907">
      <w:pPr>
        <w:pStyle w:val="Textbody"/>
        <w:numPr>
          <w:ilvl w:val="1"/>
          <w:numId w:val="10"/>
        </w:numPr>
        <w:spacing w:after="0"/>
        <w:ind w:left="709" w:hanging="283"/>
        <w:jc w:val="both"/>
        <w:rPr>
          <w:rFonts w:ascii="Arial" w:hAnsi="Arial"/>
          <w:sz w:val="18"/>
          <w:szCs w:val="18"/>
        </w:rPr>
      </w:pPr>
      <w:r>
        <w:rPr>
          <w:rFonts w:ascii="Arial" w:hAnsi="Arial"/>
          <w:sz w:val="18"/>
          <w:szCs w:val="18"/>
        </w:rPr>
        <w:t>P</w:t>
      </w:r>
      <w:r w:rsidR="008A7986" w:rsidRPr="00B23601">
        <w:rPr>
          <w:rFonts w:ascii="Arial" w:hAnsi="Arial"/>
          <w:sz w:val="18"/>
          <w:szCs w:val="18"/>
        </w:rPr>
        <w:t xml:space="preserve">lně hrazené stomatologické výrobky poskytnuté pojištěncům Zdravotní pojišťovny a </w:t>
      </w:r>
      <w:r w:rsidR="0030579C" w:rsidRPr="00B23601">
        <w:rPr>
          <w:rFonts w:ascii="Arial" w:hAnsi="Arial"/>
          <w:sz w:val="18"/>
          <w:szCs w:val="18"/>
        </w:rPr>
        <w:t>Z</w:t>
      </w:r>
      <w:r w:rsidR="008A7986" w:rsidRPr="00B23601">
        <w:rPr>
          <w:rFonts w:ascii="Arial" w:hAnsi="Arial"/>
          <w:sz w:val="18"/>
          <w:szCs w:val="18"/>
        </w:rPr>
        <w:t>ahraničním pojištěncům</w:t>
      </w:r>
      <w:r w:rsidR="00705030" w:rsidRPr="00B23601">
        <w:rPr>
          <w:rFonts w:ascii="Arial" w:hAnsi="Arial"/>
          <w:sz w:val="18"/>
          <w:szCs w:val="18"/>
        </w:rPr>
        <w:t xml:space="preserve"> Poskytovatelem budou v roce 202</w:t>
      </w:r>
      <w:r w:rsidR="0017441F">
        <w:rPr>
          <w:rFonts w:ascii="Arial" w:hAnsi="Arial"/>
          <w:sz w:val="18"/>
          <w:szCs w:val="18"/>
        </w:rPr>
        <w:t>2</w:t>
      </w:r>
      <w:r w:rsidR="008A7986" w:rsidRPr="00B23601">
        <w:rPr>
          <w:rFonts w:ascii="Arial" w:hAnsi="Arial"/>
          <w:sz w:val="18"/>
          <w:szCs w:val="18"/>
        </w:rPr>
        <w:t xml:space="preserve"> hrazeny v</w:t>
      </w:r>
      <w:r w:rsidR="00681809" w:rsidRPr="00B23601">
        <w:rPr>
          <w:rFonts w:ascii="Arial" w:hAnsi="Arial"/>
          <w:sz w:val="18"/>
          <w:szCs w:val="18"/>
        </w:rPr>
        <w:t xml:space="preserve"> ceně</w:t>
      </w:r>
      <w:r w:rsidR="008A7986" w:rsidRPr="00B23601">
        <w:rPr>
          <w:rFonts w:ascii="Arial" w:hAnsi="Arial"/>
          <w:sz w:val="18"/>
          <w:szCs w:val="18"/>
        </w:rPr>
        <w:t xml:space="preserve"> </w:t>
      </w:r>
      <w:r w:rsidR="00536007" w:rsidRPr="00B23601">
        <w:rPr>
          <w:rFonts w:ascii="Arial" w:hAnsi="Arial"/>
          <w:sz w:val="18"/>
          <w:szCs w:val="18"/>
        </w:rPr>
        <w:t>vykázané Poskytovatelem</w:t>
      </w:r>
      <w:r w:rsidR="008A7986" w:rsidRPr="00B23601">
        <w:rPr>
          <w:rFonts w:ascii="Arial" w:hAnsi="Arial"/>
          <w:sz w:val="18"/>
          <w:szCs w:val="18"/>
        </w:rPr>
        <w:t>, maximálně však do</w:t>
      </w:r>
      <w:r w:rsidR="00681809" w:rsidRPr="00B23601">
        <w:rPr>
          <w:rFonts w:ascii="Arial" w:hAnsi="Arial"/>
          <w:sz w:val="18"/>
          <w:szCs w:val="18"/>
        </w:rPr>
        <w:t xml:space="preserve"> ceny</w:t>
      </w:r>
      <w:r w:rsidR="008A7986" w:rsidRPr="00B23601">
        <w:rPr>
          <w:rFonts w:ascii="Arial" w:hAnsi="Arial"/>
          <w:sz w:val="18"/>
          <w:szCs w:val="18"/>
        </w:rPr>
        <w:t xml:space="preserve"> uvedené v Cenovém </w:t>
      </w:r>
      <w:r w:rsidR="00DE7244">
        <w:rPr>
          <w:rFonts w:ascii="Arial" w:hAnsi="Arial"/>
          <w:sz w:val="18"/>
          <w:szCs w:val="18"/>
        </w:rPr>
        <w:t xml:space="preserve">rozhodnutí </w:t>
      </w:r>
      <w:r w:rsidR="008A7986" w:rsidRPr="00B23601">
        <w:rPr>
          <w:rFonts w:ascii="Arial" w:hAnsi="Arial"/>
          <w:sz w:val="18"/>
          <w:szCs w:val="18"/>
        </w:rPr>
        <w:t>Ministerstva zdravotnictví ČR</w:t>
      </w:r>
      <w:r w:rsidR="00DE7244">
        <w:rPr>
          <w:rFonts w:ascii="Arial" w:hAnsi="Arial"/>
          <w:sz w:val="18"/>
          <w:szCs w:val="18"/>
        </w:rPr>
        <w:t xml:space="preserve">, kterým se stanoví maximální ceny stomatologických výrobků plně hrazených z veřejného zdravotního pojištění, </w:t>
      </w:r>
      <w:r w:rsidR="008A7986" w:rsidRPr="00B23601">
        <w:rPr>
          <w:rFonts w:ascii="Arial" w:hAnsi="Arial"/>
          <w:sz w:val="18"/>
          <w:szCs w:val="18"/>
        </w:rPr>
        <w:t>v platném znění</w:t>
      </w:r>
      <w:r w:rsidR="003E1495">
        <w:rPr>
          <w:rFonts w:ascii="Arial" w:hAnsi="Arial"/>
          <w:sz w:val="18"/>
          <w:szCs w:val="18"/>
        </w:rPr>
        <w:t>. P</w:t>
      </w:r>
      <w:r w:rsidR="008A7986" w:rsidRPr="00DC394D">
        <w:rPr>
          <w:rFonts w:ascii="Arial" w:hAnsi="Arial"/>
          <w:sz w:val="18"/>
          <w:szCs w:val="18"/>
        </w:rPr>
        <w:t>lně hrazeným stomatologickým výrobkem se rozumí výrobek uvedený a označený symbolem „I“ v příloze č.</w:t>
      </w:r>
      <w:r w:rsidR="002C025A" w:rsidRPr="00DC394D">
        <w:rPr>
          <w:rFonts w:ascii="Arial" w:hAnsi="Arial"/>
          <w:sz w:val="18"/>
          <w:szCs w:val="18"/>
        </w:rPr>
        <w:t xml:space="preserve"> </w:t>
      </w:r>
      <w:r w:rsidR="00403D1C" w:rsidRPr="00DC394D">
        <w:rPr>
          <w:rFonts w:ascii="Arial" w:hAnsi="Arial"/>
          <w:sz w:val="18"/>
          <w:szCs w:val="18"/>
        </w:rPr>
        <w:t>4 z</w:t>
      </w:r>
      <w:r w:rsidR="008A7986" w:rsidRPr="00DC394D">
        <w:rPr>
          <w:rFonts w:ascii="Arial" w:hAnsi="Arial"/>
          <w:sz w:val="18"/>
          <w:szCs w:val="18"/>
        </w:rPr>
        <w:t>ákona č. 48/1997 Sb., o veřejném zdravotním pojištění</w:t>
      </w:r>
      <w:r w:rsidR="00680610" w:rsidRPr="00DC394D">
        <w:rPr>
          <w:rFonts w:ascii="Arial" w:hAnsi="Arial"/>
          <w:sz w:val="18"/>
          <w:szCs w:val="18"/>
        </w:rPr>
        <w:t xml:space="preserve"> </w:t>
      </w:r>
      <w:r w:rsidR="00680610" w:rsidRPr="00DC394D">
        <w:rPr>
          <w:rFonts w:ascii="Arial" w:hAnsi="Arial" w:cs="Arial"/>
          <w:sz w:val="18"/>
          <w:szCs w:val="18"/>
        </w:rPr>
        <w:t>a o změně a doplnění některých souvisejících zákonů</w:t>
      </w:r>
      <w:r w:rsidR="008A7986" w:rsidRPr="00DC394D">
        <w:rPr>
          <w:rFonts w:ascii="Arial" w:hAnsi="Arial"/>
          <w:sz w:val="18"/>
          <w:szCs w:val="18"/>
        </w:rPr>
        <w:t>, ve znění pozdějších předpisů</w:t>
      </w:r>
      <w:r w:rsidR="00680610" w:rsidRPr="00DC394D">
        <w:rPr>
          <w:rFonts w:ascii="Arial" w:hAnsi="Arial"/>
          <w:sz w:val="18"/>
          <w:szCs w:val="18"/>
        </w:rPr>
        <w:t xml:space="preserve"> (dále jen „Zákon“)</w:t>
      </w:r>
      <w:r w:rsidR="00DE7244">
        <w:rPr>
          <w:rFonts w:ascii="Arial" w:hAnsi="Arial"/>
          <w:sz w:val="18"/>
          <w:szCs w:val="18"/>
        </w:rPr>
        <w:t>. P</w:t>
      </w:r>
      <w:r w:rsidR="00DE7244" w:rsidRPr="00B23601">
        <w:rPr>
          <w:rFonts w:ascii="Arial" w:hAnsi="Arial"/>
          <w:sz w:val="18"/>
          <w:szCs w:val="18"/>
        </w:rPr>
        <w:t>lně hrazené stomatologické výrobky</w:t>
      </w:r>
      <w:r w:rsidR="002B0AD5" w:rsidRPr="002B0AD5">
        <w:t xml:space="preserve"> </w:t>
      </w:r>
      <w:r w:rsidR="002B0AD5" w:rsidRPr="002B0AD5">
        <w:rPr>
          <w:rFonts w:ascii="Arial" w:hAnsi="Arial"/>
          <w:sz w:val="18"/>
          <w:szCs w:val="18"/>
        </w:rPr>
        <w:t xml:space="preserve">podle přílohy č. 4 </w:t>
      </w:r>
      <w:r w:rsidR="002B0AD5">
        <w:rPr>
          <w:rFonts w:ascii="Arial" w:hAnsi="Arial"/>
          <w:sz w:val="18"/>
          <w:szCs w:val="18"/>
        </w:rPr>
        <w:t xml:space="preserve">Zákona, </w:t>
      </w:r>
      <w:r w:rsidR="006F177D">
        <w:rPr>
          <w:rFonts w:ascii="Arial" w:hAnsi="Arial"/>
          <w:sz w:val="18"/>
          <w:szCs w:val="18"/>
        </w:rPr>
        <w:br/>
      </w:r>
      <w:r w:rsidR="002B0AD5" w:rsidRPr="002B0AD5">
        <w:rPr>
          <w:rFonts w:ascii="Arial" w:hAnsi="Arial"/>
          <w:sz w:val="18"/>
          <w:szCs w:val="18"/>
        </w:rPr>
        <w:t xml:space="preserve">ve znění účinném do 31. 12. 2021, které se </w:t>
      </w:r>
      <w:r w:rsidR="00203F01">
        <w:rPr>
          <w:rFonts w:ascii="Arial" w:hAnsi="Arial"/>
          <w:sz w:val="18"/>
          <w:szCs w:val="18"/>
        </w:rPr>
        <w:t xml:space="preserve">za předpokladu splnění podmínek uvedených v </w:t>
      </w:r>
      <w:r w:rsidR="002B0AD5" w:rsidRPr="002B0AD5">
        <w:rPr>
          <w:rFonts w:ascii="Arial" w:hAnsi="Arial"/>
          <w:sz w:val="18"/>
          <w:szCs w:val="18"/>
        </w:rPr>
        <w:t xml:space="preserve">čl. II bodu 9 první věty zákona </w:t>
      </w:r>
      <w:r w:rsidR="006F177D">
        <w:rPr>
          <w:rFonts w:ascii="Arial" w:hAnsi="Arial"/>
          <w:sz w:val="18"/>
          <w:szCs w:val="18"/>
        </w:rPr>
        <w:br/>
      </w:r>
      <w:r w:rsidR="002B0AD5" w:rsidRPr="002B0AD5">
        <w:rPr>
          <w:rFonts w:ascii="Arial" w:hAnsi="Arial"/>
          <w:sz w:val="18"/>
          <w:szCs w:val="18"/>
        </w:rPr>
        <w:t xml:space="preserve">č. 371/2021 Sb. hradí v roce 2022 v rozsahu a za podmínek stanovených v příloze č. 4 </w:t>
      </w:r>
      <w:r w:rsidR="00D81147">
        <w:rPr>
          <w:rFonts w:ascii="Arial" w:hAnsi="Arial"/>
          <w:sz w:val="18"/>
          <w:szCs w:val="18"/>
        </w:rPr>
        <w:t>Z</w:t>
      </w:r>
      <w:r w:rsidR="002B0AD5">
        <w:rPr>
          <w:rFonts w:ascii="Arial" w:hAnsi="Arial"/>
          <w:sz w:val="18"/>
          <w:szCs w:val="18"/>
        </w:rPr>
        <w:t>ákona</w:t>
      </w:r>
      <w:r w:rsidR="002B0AD5" w:rsidRPr="002B0AD5">
        <w:rPr>
          <w:rFonts w:ascii="Arial" w:hAnsi="Arial"/>
          <w:sz w:val="18"/>
          <w:szCs w:val="18"/>
        </w:rPr>
        <w:t xml:space="preserve">, ve znění účinném </w:t>
      </w:r>
      <w:r w:rsidR="006F177D">
        <w:rPr>
          <w:rFonts w:ascii="Arial" w:hAnsi="Arial"/>
          <w:sz w:val="18"/>
          <w:szCs w:val="18"/>
        </w:rPr>
        <w:br/>
      </w:r>
      <w:r w:rsidR="002B0AD5" w:rsidRPr="002B0AD5">
        <w:rPr>
          <w:rFonts w:ascii="Arial" w:hAnsi="Arial"/>
          <w:sz w:val="18"/>
          <w:szCs w:val="18"/>
        </w:rPr>
        <w:t>do 31.12. 2021</w:t>
      </w:r>
      <w:r w:rsidR="002B0AD5">
        <w:rPr>
          <w:rFonts w:ascii="Arial" w:hAnsi="Arial"/>
          <w:sz w:val="18"/>
          <w:szCs w:val="18"/>
        </w:rPr>
        <w:t>,</w:t>
      </w:r>
      <w:r w:rsidR="00DE7244" w:rsidRPr="00B23601">
        <w:rPr>
          <w:rFonts w:ascii="Arial" w:hAnsi="Arial"/>
          <w:sz w:val="18"/>
          <w:szCs w:val="18"/>
        </w:rPr>
        <w:t xml:space="preserve"> poskytnuté pojištěncům Zdravotní pojišťovny a Zahraničním pojištěncům Poskytovatelem</w:t>
      </w:r>
      <w:r w:rsidR="00203F01">
        <w:rPr>
          <w:rFonts w:ascii="Arial" w:hAnsi="Arial"/>
          <w:sz w:val="18"/>
          <w:szCs w:val="18"/>
        </w:rPr>
        <w:t>,</w:t>
      </w:r>
      <w:r w:rsidR="00DE7244" w:rsidRPr="00B23601">
        <w:rPr>
          <w:rFonts w:ascii="Arial" w:hAnsi="Arial"/>
          <w:sz w:val="18"/>
          <w:szCs w:val="18"/>
        </w:rPr>
        <w:t xml:space="preserve"> budou v roce 202</w:t>
      </w:r>
      <w:r w:rsidR="00DE7244">
        <w:rPr>
          <w:rFonts w:ascii="Arial" w:hAnsi="Arial"/>
          <w:sz w:val="18"/>
          <w:szCs w:val="18"/>
        </w:rPr>
        <w:t>2</w:t>
      </w:r>
      <w:r w:rsidR="00DE7244" w:rsidRPr="00B23601">
        <w:rPr>
          <w:rFonts w:ascii="Arial" w:hAnsi="Arial"/>
          <w:sz w:val="18"/>
          <w:szCs w:val="18"/>
        </w:rPr>
        <w:t xml:space="preserve"> hrazeny v ceně vykázané Poskytovatelem, maximálně však do ceny uvedené v</w:t>
      </w:r>
      <w:r w:rsidR="002B0AD5" w:rsidRPr="002B0AD5">
        <w:t xml:space="preserve"> </w:t>
      </w:r>
      <w:r w:rsidR="002B0AD5" w:rsidRPr="002B0AD5">
        <w:rPr>
          <w:rFonts w:ascii="Arial" w:hAnsi="Arial"/>
          <w:sz w:val="18"/>
          <w:szCs w:val="18"/>
        </w:rPr>
        <w:t xml:space="preserve">Cenovém rozhodnutí MZČR č. 6/2020/CAU </w:t>
      </w:r>
      <w:r w:rsidR="006F177D">
        <w:rPr>
          <w:rFonts w:ascii="Arial" w:hAnsi="Arial"/>
          <w:sz w:val="18"/>
          <w:szCs w:val="18"/>
        </w:rPr>
        <w:br/>
      </w:r>
      <w:r w:rsidR="002B0AD5" w:rsidRPr="002B0AD5">
        <w:rPr>
          <w:rFonts w:ascii="Arial" w:hAnsi="Arial"/>
          <w:sz w:val="18"/>
          <w:szCs w:val="18"/>
        </w:rPr>
        <w:t>ze dne 18. února 2020</w:t>
      </w:r>
      <w:r w:rsidR="003E1495">
        <w:rPr>
          <w:rFonts w:ascii="Arial" w:hAnsi="Arial"/>
          <w:sz w:val="18"/>
          <w:szCs w:val="18"/>
        </w:rPr>
        <w:t>;</w:t>
      </w:r>
    </w:p>
    <w:p w14:paraId="68B257C0" w14:textId="46B385CE" w:rsidR="008A7986" w:rsidRDefault="00394D90" w:rsidP="00131907">
      <w:pPr>
        <w:pStyle w:val="Textbody"/>
        <w:numPr>
          <w:ilvl w:val="1"/>
          <w:numId w:val="10"/>
        </w:numPr>
        <w:spacing w:after="0"/>
        <w:ind w:left="709" w:hanging="283"/>
        <w:jc w:val="both"/>
        <w:rPr>
          <w:rFonts w:ascii="Arial" w:hAnsi="Arial"/>
          <w:sz w:val="18"/>
          <w:szCs w:val="18"/>
        </w:rPr>
      </w:pPr>
      <w:r>
        <w:rPr>
          <w:rFonts w:ascii="Arial" w:hAnsi="Arial"/>
          <w:sz w:val="18"/>
          <w:szCs w:val="18"/>
        </w:rPr>
        <w:t>S</w:t>
      </w:r>
      <w:r w:rsidR="008A7986" w:rsidRPr="00BF4DD1">
        <w:rPr>
          <w:rFonts w:ascii="Arial" w:hAnsi="Arial"/>
          <w:sz w:val="18"/>
          <w:szCs w:val="18"/>
        </w:rPr>
        <w:t xml:space="preserve">tomatologické výrobky částečně hrazené ze zdravotního pojištění poskytnuté pojištěncům Zdravotní pojišťovny </w:t>
      </w:r>
      <w:r w:rsidR="00B23601">
        <w:rPr>
          <w:rFonts w:ascii="Arial" w:hAnsi="Arial"/>
          <w:sz w:val="18"/>
          <w:szCs w:val="18"/>
        </w:rPr>
        <w:br/>
      </w:r>
      <w:r w:rsidR="008A7986" w:rsidRPr="00B141C1">
        <w:rPr>
          <w:rFonts w:ascii="Arial" w:hAnsi="Arial"/>
          <w:sz w:val="18"/>
          <w:szCs w:val="18"/>
        </w:rPr>
        <w:t xml:space="preserve">a </w:t>
      </w:r>
      <w:r w:rsidR="0030579C" w:rsidRPr="00B141C1">
        <w:rPr>
          <w:rFonts w:ascii="Arial" w:hAnsi="Arial"/>
          <w:sz w:val="18"/>
          <w:szCs w:val="18"/>
        </w:rPr>
        <w:t>Z</w:t>
      </w:r>
      <w:r w:rsidR="008A7986" w:rsidRPr="00B141C1">
        <w:rPr>
          <w:rFonts w:ascii="Arial" w:hAnsi="Arial"/>
          <w:sz w:val="18"/>
          <w:szCs w:val="18"/>
        </w:rPr>
        <w:t xml:space="preserve">ahraničním pojištěncům Poskytovatelem budou v roce </w:t>
      </w:r>
      <w:r w:rsidR="00DC394D" w:rsidRPr="00B141C1">
        <w:rPr>
          <w:rFonts w:ascii="Arial" w:hAnsi="Arial"/>
          <w:sz w:val="18"/>
          <w:szCs w:val="18"/>
        </w:rPr>
        <w:t>202</w:t>
      </w:r>
      <w:r w:rsidR="0017441F" w:rsidRPr="00B141C1">
        <w:rPr>
          <w:rFonts w:ascii="Arial" w:hAnsi="Arial"/>
          <w:sz w:val="18"/>
          <w:szCs w:val="18"/>
        </w:rPr>
        <w:t>2</w:t>
      </w:r>
      <w:r w:rsidR="00DC394D" w:rsidRPr="00B141C1">
        <w:rPr>
          <w:rFonts w:ascii="Arial" w:hAnsi="Arial"/>
          <w:sz w:val="18"/>
          <w:szCs w:val="18"/>
        </w:rPr>
        <w:t xml:space="preserve"> </w:t>
      </w:r>
      <w:r w:rsidR="008A7986" w:rsidRPr="00B141C1">
        <w:rPr>
          <w:rFonts w:ascii="Arial" w:hAnsi="Arial"/>
          <w:sz w:val="18"/>
          <w:szCs w:val="18"/>
        </w:rPr>
        <w:t xml:space="preserve">hrazeny ve výši stanovené v </w:t>
      </w:r>
      <w:r w:rsidR="0030579C" w:rsidRPr="00B141C1">
        <w:rPr>
          <w:rFonts w:ascii="Arial" w:hAnsi="Arial"/>
          <w:sz w:val="18"/>
          <w:szCs w:val="18"/>
        </w:rPr>
        <w:t>p</w:t>
      </w:r>
      <w:r w:rsidR="008A7986" w:rsidRPr="00B141C1">
        <w:rPr>
          <w:rFonts w:ascii="Arial" w:hAnsi="Arial"/>
          <w:sz w:val="18"/>
          <w:szCs w:val="18"/>
        </w:rPr>
        <w:t>říloze č.</w:t>
      </w:r>
      <w:r w:rsidR="00F27E32" w:rsidRPr="00B141C1">
        <w:rPr>
          <w:rFonts w:ascii="Arial" w:hAnsi="Arial"/>
          <w:sz w:val="18"/>
          <w:szCs w:val="18"/>
        </w:rPr>
        <w:t xml:space="preserve"> </w:t>
      </w:r>
      <w:r w:rsidR="008A7986" w:rsidRPr="00B141C1">
        <w:rPr>
          <w:rFonts w:ascii="Arial" w:hAnsi="Arial"/>
          <w:sz w:val="18"/>
          <w:szCs w:val="18"/>
        </w:rPr>
        <w:t xml:space="preserve">4 </w:t>
      </w:r>
      <w:r w:rsidR="00680610" w:rsidRPr="00B141C1">
        <w:rPr>
          <w:rFonts w:ascii="Arial" w:hAnsi="Arial"/>
          <w:sz w:val="18"/>
          <w:szCs w:val="18"/>
        </w:rPr>
        <w:t>Zákona</w:t>
      </w:r>
      <w:r w:rsidR="008A7986" w:rsidRPr="00B141C1">
        <w:rPr>
          <w:rFonts w:ascii="Arial" w:hAnsi="Arial"/>
          <w:sz w:val="18"/>
          <w:szCs w:val="18"/>
        </w:rPr>
        <w:t>.</w:t>
      </w:r>
      <w:r w:rsidR="002B0AD5">
        <w:rPr>
          <w:rFonts w:ascii="Arial" w:hAnsi="Arial"/>
          <w:sz w:val="18"/>
          <w:szCs w:val="18"/>
        </w:rPr>
        <w:t xml:space="preserve"> S</w:t>
      </w:r>
      <w:r w:rsidR="002B0AD5" w:rsidRPr="00BF4DD1">
        <w:rPr>
          <w:rFonts w:ascii="Arial" w:hAnsi="Arial"/>
          <w:sz w:val="18"/>
          <w:szCs w:val="18"/>
        </w:rPr>
        <w:t xml:space="preserve">tomatologické výrobky částečně hrazené ze zdravotního pojištění </w:t>
      </w:r>
      <w:r w:rsidR="002B0AD5">
        <w:rPr>
          <w:rFonts w:ascii="Arial" w:hAnsi="Arial"/>
          <w:sz w:val="18"/>
          <w:szCs w:val="18"/>
        </w:rPr>
        <w:t xml:space="preserve">podle přílohy č. 4 Zákona, </w:t>
      </w:r>
      <w:r w:rsidR="00647C3F">
        <w:rPr>
          <w:rFonts w:ascii="Arial" w:hAnsi="Arial"/>
          <w:sz w:val="18"/>
          <w:szCs w:val="18"/>
        </w:rPr>
        <w:t xml:space="preserve">ve znění </w:t>
      </w:r>
      <w:r w:rsidR="002B0AD5">
        <w:rPr>
          <w:rFonts w:ascii="Arial" w:hAnsi="Arial"/>
          <w:sz w:val="18"/>
          <w:szCs w:val="18"/>
        </w:rPr>
        <w:t>účinné</w:t>
      </w:r>
      <w:r w:rsidR="00647C3F">
        <w:rPr>
          <w:rFonts w:ascii="Arial" w:hAnsi="Arial"/>
          <w:sz w:val="18"/>
          <w:szCs w:val="18"/>
        </w:rPr>
        <w:t>m</w:t>
      </w:r>
      <w:r w:rsidR="002B0AD5">
        <w:rPr>
          <w:rFonts w:ascii="Arial" w:hAnsi="Arial"/>
          <w:sz w:val="18"/>
          <w:szCs w:val="18"/>
        </w:rPr>
        <w:t xml:space="preserve"> do 31.</w:t>
      </w:r>
      <w:r w:rsidR="00647C3F">
        <w:rPr>
          <w:rFonts w:ascii="Arial" w:hAnsi="Arial"/>
          <w:sz w:val="18"/>
          <w:szCs w:val="18"/>
        </w:rPr>
        <w:t>12</w:t>
      </w:r>
      <w:r w:rsidR="002B0AD5">
        <w:rPr>
          <w:rFonts w:ascii="Arial" w:hAnsi="Arial"/>
          <w:sz w:val="18"/>
          <w:szCs w:val="18"/>
        </w:rPr>
        <w:t xml:space="preserve"> 2021, </w:t>
      </w:r>
      <w:r w:rsidR="00415E1B" w:rsidRPr="002B0AD5">
        <w:rPr>
          <w:rFonts w:ascii="Arial" w:hAnsi="Arial"/>
          <w:sz w:val="18"/>
          <w:szCs w:val="18"/>
        </w:rPr>
        <w:t xml:space="preserve">které se </w:t>
      </w:r>
      <w:r w:rsidR="00415E1B">
        <w:rPr>
          <w:rFonts w:ascii="Arial" w:hAnsi="Arial"/>
          <w:sz w:val="18"/>
          <w:szCs w:val="18"/>
        </w:rPr>
        <w:t xml:space="preserve">za předpokladu splnění podmínek uvedených v </w:t>
      </w:r>
      <w:r w:rsidR="00415E1B" w:rsidRPr="002B0AD5">
        <w:rPr>
          <w:rFonts w:ascii="Arial" w:hAnsi="Arial"/>
          <w:sz w:val="18"/>
          <w:szCs w:val="18"/>
        </w:rPr>
        <w:t xml:space="preserve">čl. II bodu 9 první věty zákona č. 371/2021 Sb. hradí v roce 2022 v rozsahu a za podmínek stanovených v příloze č. 4 </w:t>
      </w:r>
      <w:r w:rsidR="00415E1B">
        <w:rPr>
          <w:rFonts w:ascii="Arial" w:hAnsi="Arial"/>
          <w:sz w:val="18"/>
          <w:szCs w:val="18"/>
        </w:rPr>
        <w:t>Zákona</w:t>
      </w:r>
      <w:r w:rsidR="00415E1B" w:rsidRPr="002B0AD5">
        <w:rPr>
          <w:rFonts w:ascii="Arial" w:hAnsi="Arial"/>
          <w:sz w:val="18"/>
          <w:szCs w:val="18"/>
        </w:rPr>
        <w:t>, ve znění účinném do 31.12. 2021</w:t>
      </w:r>
      <w:r w:rsidR="00415E1B">
        <w:rPr>
          <w:rFonts w:ascii="Arial" w:hAnsi="Arial"/>
          <w:sz w:val="18"/>
          <w:szCs w:val="18"/>
        </w:rPr>
        <w:t xml:space="preserve">, </w:t>
      </w:r>
      <w:r w:rsidR="002B0AD5" w:rsidRPr="00BF4DD1">
        <w:rPr>
          <w:rFonts w:ascii="Arial" w:hAnsi="Arial"/>
          <w:sz w:val="18"/>
          <w:szCs w:val="18"/>
        </w:rPr>
        <w:t>poskytnuté pojištěncům Zdravotní pojišťovny</w:t>
      </w:r>
      <w:r w:rsidR="002B0AD5">
        <w:rPr>
          <w:rFonts w:ascii="Arial" w:hAnsi="Arial"/>
          <w:sz w:val="18"/>
          <w:szCs w:val="18"/>
        </w:rPr>
        <w:t xml:space="preserve"> </w:t>
      </w:r>
      <w:r w:rsidR="002B0AD5" w:rsidRPr="00B141C1">
        <w:rPr>
          <w:rFonts w:ascii="Arial" w:hAnsi="Arial"/>
          <w:sz w:val="18"/>
          <w:szCs w:val="18"/>
        </w:rPr>
        <w:t>a Zahraničním pojištěncům Poskytovatelem</w:t>
      </w:r>
      <w:r w:rsidR="00415E1B">
        <w:rPr>
          <w:rFonts w:ascii="Arial" w:hAnsi="Arial"/>
          <w:sz w:val="18"/>
          <w:szCs w:val="18"/>
        </w:rPr>
        <w:t>,</w:t>
      </w:r>
      <w:r w:rsidR="002B0AD5" w:rsidRPr="00B141C1">
        <w:rPr>
          <w:rFonts w:ascii="Arial" w:hAnsi="Arial"/>
          <w:sz w:val="18"/>
          <w:szCs w:val="18"/>
        </w:rPr>
        <w:t xml:space="preserve"> budou v roce 2022 hrazeny ve výši stanovené v příloze č. 4 Zákona</w:t>
      </w:r>
      <w:r w:rsidR="002B0AD5">
        <w:rPr>
          <w:rFonts w:ascii="Arial" w:hAnsi="Arial"/>
          <w:sz w:val="18"/>
          <w:szCs w:val="18"/>
        </w:rPr>
        <w:t xml:space="preserve">, </w:t>
      </w:r>
      <w:r w:rsidR="00415E1B">
        <w:rPr>
          <w:rFonts w:ascii="Arial" w:hAnsi="Arial"/>
          <w:sz w:val="18"/>
          <w:szCs w:val="18"/>
        </w:rPr>
        <w:br/>
      </w:r>
      <w:r w:rsidR="002B0AD5">
        <w:rPr>
          <w:rFonts w:ascii="Arial" w:hAnsi="Arial"/>
          <w:sz w:val="18"/>
          <w:szCs w:val="18"/>
        </w:rPr>
        <w:t xml:space="preserve">ve znění účinném do 31. </w:t>
      </w:r>
      <w:r w:rsidR="00647C3F">
        <w:rPr>
          <w:rFonts w:ascii="Arial" w:hAnsi="Arial"/>
          <w:sz w:val="18"/>
          <w:szCs w:val="18"/>
        </w:rPr>
        <w:t>12</w:t>
      </w:r>
      <w:r w:rsidR="00415E1B">
        <w:rPr>
          <w:rFonts w:ascii="Arial" w:hAnsi="Arial"/>
          <w:sz w:val="18"/>
          <w:szCs w:val="18"/>
        </w:rPr>
        <w:t>.</w:t>
      </w:r>
      <w:r w:rsidR="002B0AD5">
        <w:rPr>
          <w:rFonts w:ascii="Arial" w:hAnsi="Arial"/>
          <w:sz w:val="18"/>
          <w:szCs w:val="18"/>
        </w:rPr>
        <w:t xml:space="preserve"> 2021</w:t>
      </w:r>
      <w:r w:rsidR="002B0AD5" w:rsidRPr="00B141C1">
        <w:rPr>
          <w:rFonts w:ascii="Arial" w:hAnsi="Arial"/>
          <w:sz w:val="18"/>
          <w:szCs w:val="18"/>
        </w:rPr>
        <w:t>.</w:t>
      </w:r>
    </w:p>
    <w:p w14:paraId="5B37562B" w14:textId="56CAEBA3" w:rsidR="0080115D" w:rsidRDefault="0080115D" w:rsidP="0080115D">
      <w:pPr>
        <w:pStyle w:val="Textbody"/>
        <w:numPr>
          <w:ilvl w:val="1"/>
          <w:numId w:val="10"/>
        </w:numPr>
        <w:spacing w:after="0"/>
        <w:ind w:left="709" w:hanging="283"/>
        <w:jc w:val="both"/>
        <w:rPr>
          <w:rFonts w:ascii="Arial" w:hAnsi="Arial"/>
          <w:sz w:val="18"/>
          <w:szCs w:val="18"/>
        </w:rPr>
      </w:pPr>
      <w:r>
        <w:rPr>
          <w:rFonts w:ascii="Arial" w:hAnsi="Arial"/>
          <w:sz w:val="18"/>
          <w:szCs w:val="18"/>
        </w:rPr>
        <w:t>Léčba ortodontických anomálií fixním ortodontickým aparátem na 1 zubní oblouk I bude v roce 2022 vykazována a hrazena prostřednictvím dvou VZP-</w:t>
      </w:r>
      <w:r w:rsidR="005C6B95">
        <w:rPr>
          <w:rFonts w:ascii="Arial" w:hAnsi="Arial"/>
          <w:sz w:val="18"/>
          <w:szCs w:val="18"/>
        </w:rPr>
        <w:t>kódů</w:t>
      </w:r>
      <w:r>
        <w:rPr>
          <w:rFonts w:ascii="Arial" w:hAnsi="Arial"/>
          <w:sz w:val="18"/>
          <w:szCs w:val="18"/>
        </w:rPr>
        <w:t>:</w:t>
      </w:r>
    </w:p>
    <w:p w14:paraId="17C1E8AE" w14:textId="77777777" w:rsidR="00347591" w:rsidRDefault="0080115D" w:rsidP="00347591">
      <w:pPr>
        <w:pStyle w:val="Textbody"/>
        <w:spacing w:after="0"/>
        <w:ind w:left="709"/>
        <w:jc w:val="both"/>
        <w:rPr>
          <w:rFonts w:ascii="Arial" w:hAnsi="Arial"/>
          <w:sz w:val="18"/>
          <w:szCs w:val="18"/>
        </w:rPr>
      </w:pPr>
      <w:r>
        <w:rPr>
          <w:rFonts w:ascii="Arial" w:hAnsi="Arial"/>
          <w:sz w:val="18"/>
          <w:szCs w:val="18"/>
        </w:rPr>
        <w:t>00800 – Zahájení léčby ortodontických anomálií fixním ortodontickým aparátem na 1 zubní oblouk I</w:t>
      </w:r>
      <w:r w:rsidR="00347591">
        <w:rPr>
          <w:rFonts w:ascii="Arial" w:hAnsi="Arial"/>
          <w:sz w:val="18"/>
          <w:szCs w:val="18"/>
        </w:rPr>
        <w:t>, který je definován takto:</w:t>
      </w:r>
    </w:p>
    <w:p w14:paraId="27E309BF" w14:textId="36D4F901" w:rsidR="00347591" w:rsidRDefault="00347591" w:rsidP="0083780E">
      <w:pPr>
        <w:pStyle w:val="Textbody"/>
        <w:spacing w:after="0"/>
        <w:ind w:left="851"/>
        <w:jc w:val="both"/>
        <w:rPr>
          <w:rFonts w:ascii="Arial" w:hAnsi="Arial"/>
          <w:sz w:val="18"/>
          <w:szCs w:val="18"/>
        </w:rPr>
      </w:pPr>
      <w:r w:rsidRPr="00BD628C">
        <w:rPr>
          <w:rFonts w:ascii="Arial" w:hAnsi="Arial"/>
          <w:b/>
          <w:bCs/>
          <w:sz w:val="18"/>
          <w:szCs w:val="18"/>
        </w:rPr>
        <w:t>Popis výkonu</w:t>
      </w:r>
      <w:r w:rsidR="00BD628C" w:rsidRPr="00BD628C">
        <w:rPr>
          <w:rFonts w:ascii="Arial" w:hAnsi="Arial"/>
          <w:b/>
          <w:bCs/>
          <w:sz w:val="18"/>
          <w:szCs w:val="18"/>
        </w:rPr>
        <w:t>:</w:t>
      </w:r>
      <w:r w:rsidR="00BD628C">
        <w:rPr>
          <w:rFonts w:ascii="Arial" w:hAnsi="Arial"/>
          <w:sz w:val="18"/>
          <w:szCs w:val="18"/>
        </w:rPr>
        <w:t xml:space="preserve"> </w:t>
      </w:r>
      <w:r w:rsidRPr="00347591">
        <w:rPr>
          <w:rFonts w:ascii="Arial" w:hAnsi="Arial"/>
          <w:sz w:val="18"/>
          <w:szCs w:val="18"/>
        </w:rPr>
        <w:t>Zahájení léčby ortodontických anomálií fixním ortodontickým aparátem – na jeden zubní oblouk. Zahrnuje nasazení prvků fixního aparátu včetně přípravy zubů. Zahrnuje veškerý přímý materiál ortodontického aparátu použitý při zahájení léčby a při pokračování v léčbě v kalendářním roce, ve kterém byl nasazen fixní ortodontický aparát.</w:t>
      </w:r>
    </w:p>
    <w:p w14:paraId="3996E1DE" w14:textId="121CCD22" w:rsidR="00347591" w:rsidRDefault="00347591" w:rsidP="0083780E">
      <w:pPr>
        <w:pStyle w:val="Textbody"/>
        <w:spacing w:after="0"/>
        <w:ind w:left="851"/>
        <w:jc w:val="both"/>
        <w:rPr>
          <w:rFonts w:ascii="Arial" w:eastAsia="Times New Roman" w:hAnsi="Arial" w:cs="Arial"/>
          <w:sz w:val="18"/>
          <w:szCs w:val="18"/>
          <w:lang w:eastAsia="cs-CZ"/>
        </w:rPr>
      </w:pPr>
      <w:r w:rsidRPr="00BD628C">
        <w:rPr>
          <w:rFonts w:ascii="Arial" w:hAnsi="Arial" w:cs="Arial"/>
          <w:b/>
          <w:bCs/>
          <w:sz w:val="18"/>
          <w:szCs w:val="18"/>
          <w:u w:val="single"/>
          <w:lang w:eastAsia="cs-CZ"/>
        </w:rPr>
        <w:t>Regulační omezení</w:t>
      </w:r>
      <w:r w:rsidRPr="00BD628C">
        <w:rPr>
          <w:rFonts w:ascii="Arial" w:hAnsi="Arial" w:cs="Arial"/>
          <w:b/>
          <w:bCs/>
          <w:sz w:val="18"/>
          <w:szCs w:val="18"/>
          <w:lang w:eastAsia="cs-CZ"/>
        </w:rPr>
        <w:t>:</w:t>
      </w:r>
      <w:r w:rsidR="00BD628C">
        <w:rPr>
          <w:rFonts w:ascii="Arial" w:hAnsi="Arial" w:cs="Arial"/>
          <w:b/>
          <w:bCs/>
          <w:sz w:val="18"/>
          <w:szCs w:val="18"/>
          <w:lang w:eastAsia="cs-CZ"/>
        </w:rPr>
        <w:t xml:space="preserve"> </w:t>
      </w:r>
      <w:r w:rsidRPr="008838CE">
        <w:rPr>
          <w:rFonts w:ascii="Arial" w:hAnsi="Arial" w:cs="Arial"/>
          <w:sz w:val="18"/>
          <w:szCs w:val="18"/>
          <w:lang w:eastAsia="cs-CZ"/>
        </w:rPr>
        <w:t>Lze vykázat 2 / 1 čelist / 1 pojištěnce.</w:t>
      </w:r>
      <w:r>
        <w:rPr>
          <w:rFonts w:ascii="Arial" w:hAnsi="Arial" w:cs="Arial"/>
          <w:sz w:val="18"/>
          <w:szCs w:val="18"/>
          <w:lang w:eastAsia="cs-CZ"/>
        </w:rPr>
        <w:t xml:space="preserve"> </w:t>
      </w:r>
      <w:r w:rsidRPr="00CF1F31">
        <w:rPr>
          <w:rFonts w:ascii="Arial" w:eastAsia="Times New Roman" w:hAnsi="Arial" w:cs="Arial"/>
          <w:sz w:val="18"/>
          <w:szCs w:val="18"/>
          <w:lang w:eastAsia="cs-CZ"/>
        </w:rPr>
        <w:t xml:space="preserve">Nelze vykázat v kombinaci s kódem 00982 a 00801. Lze vykázat pouze u pojištěnců s rozštěpy rtu, čelisti a patra, vrozenými celkovými vadami a systémovým onemocněním s ortodontickými projevy, mnohočetnou </w:t>
      </w:r>
      <w:proofErr w:type="spellStart"/>
      <w:r w:rsidRPr="00CF1F31">
        <w:rPr>
          <w:rFonts w:ascii="Arial" w:eastAsia="Times New Roman" w:hAnsi="Arial" w:cs="Arial"/>
          <w:sz w:val="18"/>
          <w:szCs w:val="18"/>
          <w:lang w:eastAsia="cs-CZ"/>
        </w:rPr>
        <w:t>hypodoncií</w:t>
      </w:r>
      <w:proofErr w:type="spellEnd"/>
      <w:r w:rsidRPr="00CF1F31">
        <w:rPr>
          <w:rFonts w:ascii="Arial" w:eastAsia="Times New Roman" w:hAnsi="Arial" w:cs="Arial"/>
          <w:sz w:val="18"/>
          <w:szCs w:val="18"/>
          <w:lang w:eastAsia="cs-CZ"/>
        </w:rPr>
        <w:t xml:space="preserve"> (6 a více chybějících zubů v jedné čelist</w:t>
      </w:r>
      <w:r>
        <w:rPr>
          <w:rFonts w:ascii="Arial" w:eastAsia="Times New Roman" w:hAnsi="Arial" w:cs="Arial"/>
          <w:sz w:val="18"/>
          <w:szCs w:val="18"/>
          <w:lang w:eastAsia="cs-CZ"/>
        </w:rPr>
        <w:t>i</w:t>
      </w:r>
      <w:r w:rsidRPr="00CF1F31">
        <w:rPr>
          <w:rFonts w:ascii="Arial" w:eastAsia="Times New Roman" w:hAnsi="Arial" w:cs="Arial"/>
          <w:sz w:val="18"/>
          <w:szCs w:val="18"/>
          <w:lang w:eastAsia="cs-CZ"/>
        </w:rPr>
        <w:t xml:space="preserve">, nezapočítávají se třetí moláry). </w:t>
      </w:r>
      <w:r>
        <w:rPr>
          <w:rFonts w:ascii="Arial" w:eastAsia="Times New Roman" w:hAnsi="Arial" w:cs="Arial"/>
          <w:sz w:val="18"/>
          <w:szCs w:val="18"/>
          <w:lang w:eastAsia="cs-CZ"/>
        </w:rPr>
        <w:t>Vykazuje o</w:t>
      </w:r>
      <w:r w:rsidRPr="00CF1F31">
        <w:rPr>
          <w:rFonts w:ascii="Arial" w:eastAsia="Times New Roman" w:hAnsi="Arial" w:cs="Arial"/>
          <w:sz w:val="18"/>
          <w:szCs w:val="18"/>
          <w:lang w:eastAsia="cs-CZ"/>
        </w:rPr>
        <w:t xml:space="preserve">dbornost 015 podle </w:t>
      </w:r>
      <w:r>
        <w:rPr>
          <w:rFonts w:ascii="Arial" w:eastAsia="Times New Roman" w:hAnsi="Arial" w:cs="Arial"/>
          <w:sz w:val="18"/>
          <w:szCs w:val="18"/>
          <w:lang w:eastAsia="cs-CZ"/>
        </w:rPr>
        <w:t xml:space="preserve">vyhlášky č. 134/1998 Sb., kterou se vydává </w:t>
      </w:r>
      <w:r w:rsidRPr="00CF1F31">
        <w:rPr>
          <w:rFonts w:ascii="Arial" w:eastAsia="Times New Roman" w:hAnsi="Arial" w:cs="Arial"/>
          <w:sz w:val="18"/>
          <w:szCs w:val="18"/>
          <w:lang w:eastAsia="cs-CZ"/>
        </w:rPr>
        <w:t>seznam</w:t>
      </w:r>
      <w:r>
        <w:rPr>
          <w:rFonts w:ascii="Arial" w:eastAsia="Times New Roman" w:hAnsi="Arial" w:cs="Arial"/>
          <w:sz w:val="18"/>
          <w:szCs w:val="18"/>
          <w:lang w:eastAsia="cs-CZ"/>
        </w:rPr>
        <w:t xml:space="preserve"> zdravotních</w:t>
      </w:r>
      <w:r w:rsidRPr="00CF1F31">
        <w:rPr>
          <w:rFonts w:ascii="Arial" w:eastAsia="Times New Roman" w:hAnsi="Arial" w:cs="Arial"/>
          <w:sz w:val="18"/>
          <w:szCs w:val="18"/>
          <w:lang w:eastAsia="cs-CZ"/>
        </w:rPr>
        <w:t xml:space="preserve"> výkonů</w:t>
      </w:r>
      <w:r>
        <w:rPr>
          <w:rFonts w:ascii="Arial" w:eastAsia="Times New Roman" w:hAnsi="Arial" w:cs="Arial"/>
          <w:sz w:val="18"/>
          <w:szCs w:val="18"/>
          <w:lang w:eastAsia="cs-CZ"/>
        </w:rPr>
        <w:t xml:space="preserve"> s bodovými hodnotami</w:t>
      </w:r>
      <w:r w:rsidRPr="00CF1F31">
        <w:rPr>
          <w:rFonts w:ascii="Arial" w:eastAsia="Times New Roman" w:hAnsi="Arial" w:cs="Arial"/>
          <w:sz w:val="18"/>
          <w:szCs w:val="18"/>
          <w:lang w:eastAsia="cs-CZ"/>
        </w:rPr>
        <w:t>.</w:t>
      </w:r>
    </w:p>
    <w:p w14:paraId="43912D48" w14:textId="77777777" w:rsidR="00347591" w:rsidRDefault="00347591" w:rsidP="0083780E">
      <w:pPr>
        <w:pStyle w:val="Textbody"/>
        <w:spacing w:after="0"/>
        <w:ind w:left="851"/>
        <w:jc w:val="both"/>
        <w:rPr>
          <w:rFonts w:ascii="Arial" w:hAnsi="Arial" w:cs="Arial"/>
          <w:sz w:val="18"/>
          <w:szCs w:val="18"/>
          <w:lang w:eastAsia="cs-CZ"/>
        </w:rPr>
      </w:pPr>
      <w:r w:rsidRPr="00BD628C">
        <w:rPr>
          <w:rFonts w:ascii="Arial" w:hAnsi="Arial" w:cs="Arial"/>
          <w:b/>
          <w:bCs/>
          <w:sz w:val="18"/>
          <w:szCs w:val="18"/>
          <w:u w:val="single"/>
          <w:lang w:eastAsia="cs-CZ"/>
        </w:rPr>
        <w:t>Výše úhrady:</w:t>
      </w:r>
      <w:r w:rsidRPr="008838CE">
        <w:rPr>
          <w:rFonts w:ascii="Arial" w:hAnsi="Arial" w:cs="Arial"/>
          <w:sz w:val="18"/>
          <w:szCs w:val="18"/>
          <w:u w:val="single"/>
          <w:lang w:eastAsia="cs-CZ"/>
        </w:rPr>
        <w:t xml:space="preserve"> </w:t>
      </w:r>
      <w:r w:rsidRPr="008838CE">
        <w:rPr>
          <w:rFonts w:ascii="Arial" w:hAnsi="Arial" w:cs="Arial"/>
          <w:sz w:val="18"/>
          <w:szCs w:val="18"/>
          <w:lang w:eastAsia="cs-CZ"/>
        </w:rPr>
        <w:t>8 629 Kč</w:t>
      </w:r>
    </w:p>
    <w:p w14:paraId="289FCBC5" w14:textId="422293E9" w:rsidR="00347591" w:rsidRDefault="00347591" w:rsidP="0083780E">
      <w:pPr>
        <w:pStyle w:val="Textbody"/>
        <w:spacing w:after="0"/>
        <w:ind w:left="851"/>
        <w:jc w:val="both"/>
        <w:rPr>
          <w:rFonts w:ascii="Arial" w:hAnsi="Arial" w:cs="Arial"/>
          <w:sz w:val="18"/>
          <w:szCs w:val="18"/>
          <w:lang w:eastAsia="cs-CZ"/>
        </w:rPr>
      </w:pPr>
      <w:r w:rsidRPr="00BD628C">
        <w:rPr>
          <w:rFonts w:ascii="Arial" w:hAnsi="Arial" w:cs="Arial"/>
          <w:b/>
          <w:bCs/>
          <w:sz w:val="18"/>
          <w:szCs w:val="18"/>
          <w:lang w:eastAsia="cs-CZ"/>
        </w:rPr>
        <w:t>Lokalizace:</w:t>
      </w:r>
      <w:r w:rsidRPr="00CF1F31">
        <w:rPr>
          <w:rFonts w:ascii="Arial" w:hAnsi="Arial" w:cs="Arial"/>
          <w:sz w:val="18"/>
          <w:szCs w:val="18"/>
          <w:lang w:eastAsia="cs-CZ"/>
        </w:rPr>
        <w:t xml:space="preserve"> čelist</w:t>
      </w:r>
    </w:p>
    <w:p w14:paraId="74F192C0" w14:textId="41BEC0E1" w:rsidR="0080115D" w:rsidRDefault="0080115D" w:rsidP="0083780E">
      <w:pPr>
        <w:pStyle w:val="Textbody"/>
        <w:spacing w:after="0"/>
        <w:ind w:left="851" w:firstLine="282"/>
        <w:jc w:val="both"/>
        <w:rPr>
          <w:rFonts w:ascii="Arial" w:hAnsi="Arial"/>
          <w:sz w:val="18"/>
          <w:szCs w:val="18"/>
        </w:rPr>
      </w:pPr>
    </w:p>
    <w:p w14:paraId="7297B580" w14:textId="4C07173E" w:rsidR="0080115D" w:rsidRDefault="0080115D" w:rsidP="0080115D">
      <w:pPr>
        <w:pStyle w:val="Textbody"/>
        <w:spacing w:after="0"/>
        <w:ind w:left="426" w:firstLine="282"/>
        <w:jc w:val="both"/>
        <w:rPr>
          <w:rFonts w:ascii="Arial" w:hAnsi="Arial"/>
          <w:sz w:val="18"/>
          <w:szCs w:val="18"/>
        </w:rPr>
      </w:pPr>
      <w:r>
        <w:rPr>
          <w:rFonts w:ascii="Arial" w:hAnsi="Arial"/>
          <w:sz w:val="18"/>
          <w:szCs w:val="18"/>
        </w:rPr>
        <w:t>00801 – Pokračování léčby ortodontických anomálií fixním ortodontickým aparátem na 1 zubní oblouk I,</w:t>
      </w:r>
      <w:r w:rsidR="0083780E">
        <w:rPr>
          <w:rFonts w:ascii="Arial" w:hAnsi="Arial"/>
          <w:sz w:val="18"/>
          <w:szCs w:val="18"/>
        </w:rPr>
        <w:t xml:space="preserve"> který je definován takto:</w:t>
      </w:r>
    </w:p>
    <w:p w14:paraId="3C26D838" w14:textId="75660509" w:rsidR="0083780E" w:rsidRDefault="00BD628C" w:rsidP="0083780E">
      <w:pPr>
        <w:pStyle w:val="Textbody"/>
        <w:spacing w:after="0"/>
        <w:ind w:left="851"/>
        <w:jc w:val="both"/>
        <w:rPr>
          <w:rFonts w:ascii="Arial" w:hAnsi="Arial"/>
          <w:sz w:val="18"/>
          <w:szCs w:val="18"/>
        </w:rPr>
      </w:pPr>
      <w:r w:rsidRPr="00BD628C">
        <w:rPr>
          <w:rFonts w:ascii="Arial" w:hAnsi="Arial"/>
          <w:b/>
          <w:bCs/>
          <w:sz w:val="18"/>
          <w:szCs w:val="18"/>
        </w:rPr>
        <w:t>Popis výkonu:</w:t>
      </w:r>
      <w:r>
        <w:rPr>
          <w:rFonts w:ascii="Arial" w:hAnsi="Arial"/>
          <w:b/>
          <w:bCs/>
          <w:sz w:val="18"/>
          <w:szCs w:val="18"/>
        </w:rPr>
        <w:t xml:space="preserve"> </w:t>
      </w:r>
      <w:r>
        <w:rPr>
          <w:rFonts w:ascii="Arial" w:hAnsi="Arial"/>
          <w:sz w:val="18"/>
          <w:szCs w:val="18"/>
        </w:rPr>
        <w:t>N</w:t>
      </w:r>
      <w:r w:rsidR="0083780E" w:rsidRPr="0083780E">
        <w:rPr>
          <w:rFonts w:ascii="Arial" w:hAnsi="Arial"/>
          <w:sz w:val="18"/>
          <w:szCs w:val="18"/>
        </w:rPr>
        <w:t xml:space="preserve">áklady na veškerý přímý materiál ortodontického aparátu použitý v průběhu léčby v jednom kalendářním roce, tj. v rámci kontrol vykazovaných kódem 00983, s výjimkou kalendářního roku, ve kterém byl nasazen fixní ortodontický aparát, a to včetně případného prefabrikovaného </w:t>
      </w:r>
      <w:proofErr w:type="spellStart"/>
      <w:r w:rsidR="0083780E" w:rsidRPr="0083780E">
        <w:rPr>
          <w:rFonts w:ascii="Arial" w:hAnsi="Arial"/>
          <w:sz w:val="18"/>
          <w:szCs w:val="18"/>
        </w:rPr>
        <w:t>intraorálního</w:t>
      </w:r>
      <w:proofErr w:type="spellEnd"/>
      <w:r w:rsidR="0083780E" w:rsidRPr="0083780E">
        <w:rPr>
          <w:rFonts w:ascii="Arial" w:hAnsi="Arial"/>
          <w:sz w:val="18"/>
          <w:szCs w:val="18"/>
        </w:rPr>
        <w:t xml:space="preserve"> oblouku (nasazení se vykazuje kódem 00991) a parciálního oblouku (navázání se vykazuje kódem 00993).</w:t>
      </w:r>
    </w:p>
    <w:p w14:paraId="2FD7C8AF" w14:textId="77777777" w:rsidR="0083780E" w:rsidRDefault="0083780E" w:rsidP="0083780E">
      <w:pPr>
        <w:pStyle w:val="Textbody"/>
        <w:spacing w:after="0"/>
        <w:ind w:left="851"/>
        <w:jc w:val="both"/>
        <w:rPr>
          <w:rFonts w:ascii="Arial" w:eastAsia="Times New Roman" w:hAnsi="Arial" w:cs="Arial"/>
          <w:sz w:val="18"/>
          <w:szCs w:val="18"/>
          <w:lang w:eastAsia="cs-CZ"/>
        </w:rPr>
      </w:pPr>
      <w:r w:rsidRPr="00BD628C">
        <w:rPr>
          <w:rFonts w:ascii="Arial" w:hAnsi="Arial" w:cs="Arial"/>
          <w:b/>
          <w:bCs/>
          <w:sz w:val="18"/>
          <w:szCs w:val="18"/>
          <w:u w:val="single"/>
          <w:lang w:eastAsia="cs-CZ"/>
        </w:rPr>
        <w:t>Regulační omezení</w:t>
      </w:r>
      <w:r w:rsidRPr="00BD628C">
        <w:rPr>
          <w:rFonts w:ascii="Arial" w:hAnsi="Arial" w:cs="Arial"/>
          <w:b/>
          <w:bCs/>
          <w:sz w:val="18"/>
          <w:szCs w:val="18"/>
          <w:lang w:eastAsia="cs-CZ"/>
        </w:rPr>
        <w:t>:</w:t>
      </w:r>
      <w:r w:rsidRPr="00F66A5A">
        <w:rPr>
          <w:rFonts w:ascii="Arial" w:hAnsi="Arial" w:cs="Arial"/>
          <w:sz w:val="18"/>
          <w:szCs w:val="18"/>
          <w:lang w:eastAsia="cs-CZ"/>
        </w:rPr>
        <w:t xml:space="preserve"> Lze vykázat 1 / 1 čelist/ 1 kalendářní rok/ 1 pojištěnce.</w:t>
      </w:r>
      <w:r>
        <w:rPr>
          <w:rFonts w:ascii="Arial" w:hAnsi="Arial" w:cs="Arial"/>
          <w:sz w:val="18"/>
          <w:szCs w:val="18"/>
          <w:lang w:eastAsia="cs-CZ"/>
        </w:rPr>
        <w:t xml:space="preserve"> </w:t>
      </w:r>
      <w:r w:rsidRPr="0017072A">
        <w:rPr>
          <w:rFonts w:ascii="Arial" w:eastAsia="Times New Roman" w:hAnsi="Arial" w:cs="Arial"/>
          <w:sz w:val="18"/>
          <w:szCs w:val="18"/>
          <w:lang w:eastAsia="cs-CZ"/>
        </w:rPr>
        <w:t xml:space="preserve">Lze vykázat při první kontrole léčby ortodontických anomálií s použitím fixního ortodontického aparátu v kalendářním roce s výjimkou kalendářního roku, ve kterém byl vykázán kód 00800, a to pouze u pojištěnců s rozštěpy rtu, čelisti a patra, vrozenými celkovými vadami a systémovým onemocněním s ortodontickými projevy, mnohočetnou </w:t>
      </w:r>
      <w:proofErr w:type="spellStart"/>
      <w:r w:rsidRPr="0017072A">
        <w:rPr>
          <w:rFonts w:ascii="Arial" w:eastAsia="Times New Roman" w:hAnsi="Arial" w:cs="Arial"/>
          <w:sz w:val="18"/>
          <w:szCs w:val="18"/>
          <w:lang w:eastAsia="cs-CZ"/>
        </w:rPr>
        <w:t>hypodoncií</w:t>
      </w:r>
      <w:proofErr w:type="spellEnd"/>
      <w:r w:rsidRPr="0017072A">
        <w:rPr>
          <w:rFonts w:ascii="Arial" w:eastAsia="Times New Roman" w:hAnsi="Arial" w:cs="Arial"/>
          <w:sz w:val="18"/>
          <w:szCs w:val="18"/>
          <w:lang w:eastAsia="cs-CZ"/>
        </w:rPr>
        <w:t xml:space="preserve"> (6 a více chybějících zubů v jedné čelist, nezapočítávají se třetí moláry).</w:t>
      </w:r>
      <w:r>
        <w:rPr>
          <w:rFonts w:ascii="Arial" w:eastAsia="Times New Roman" w:hAnsi="Arial" w:cs="Arial"/>
          <w:sz w:val="18"/>
          <w:szCs w:val="18"/>
          <w:lang w:eastAsia="cs-CZ"/>
        </w:rPr>
        <w:t xml:space="preserve"> Vykazuje o</w:t>
      </w:r>
      <w:r w:rsidRPr="00CF1F31">
        <w:rPr>
          <w:rFonts w:ascii="Arial" w:eastAsia="Times New Roman" w:hAnsi="Arial" w:cs="Arial"/>
          <w:sz w:val="18"/>
          <w:szCs w:val="18"/>
          <w:lang w:eastAsia="cs-CZ"/>
        </w:rPr>
        <w:t xml:space="preserve">dbornost 015 podle </w:t>
      </w:r>
      <w:r>
        <w:rPr>
          <w:rFonts w:ascii="Arial" w:eastAsia="Times New Roman" w:hAnsi="Arial" w:cs="Arial"/>
          <w:sz w:val="18"/>
          <w:szCs w:val="18"/>
          <w:lang w:eastAsia="cs-CZ"/>
        </w:rPr>
        <w:t xml:space="preserve">vyhlášky č. 134/1998 Sb., kterou se vydává </w:t>
      </w:r>
      <w:r w:rsidRPr="00CF1F31">
        <w:rPr>
          <w:rFonts w:ascii="Arial" w:eastAsia="Times New Roman" w:hAnsi="Arial" w:cs="Arial"/>
          <w:sz w:val="18"/>
          <w:szCs w:val="18"/>
          <w:lang w:eastAsia="cs-CZ"/>
        </w:rPr>
        <w:t>seznam</w:t>
      </w:r>
      <w:r>
        <w:rPr>
          <w:rFonts w:ascii="Arial" w:eastAsia="Times New Roman" w:hAnsi="Arial" w:cs="Arial"/>
          <w:sz w:val="18"/>
          <w:szCs w:val="18"/>
          <w:lang w:eastAsia="cs-CZ"/>
        </w:rPr>
        <w:t xml:space="preserve"> zdravotních</w:t>
      </w:r>
      <w:r w:rsidRPr="00CF1F31">
        <w:rPr>
          <w:rFonts w:ascii="Arial" w:eastAsia="Times New Roman" w:hAnsi="Arial" w:cs="Arial"/>
          <w:sz w:val="18"/>
          <w:szCs w:val="18"/>
          <w:lang w:eastAsia="cs-CZ"/>
        </w:rPr>
        <w:t xml:space="preserve"> výkonů</w:t>
      </w:r>
      <w:r>
        <w:rPr>
          <w:rFonts w:ascii="Arial" w:eastAsia="Times New Roman" w:hAnsi="Arial" w:cs="Arial"/>
          <w:sz w:val="18"/>
          <w:szCs w:val="18"/>
          <w:lang w:eastAsia="cs-CZ"/>
        </w:rPr>
        <w:t xml:space="preserve"> s bodovými hodnotami.</w:t>
      </w:r>
    </w:p>
    <w:p w14:paraId="1787F162" w14:textId="77777777" w:rsidR="0083780E" w:rsidRDefault="0083780E" w:rsidP="0083780E">
      <w:pPr>
        <w:pStyle w:val="Textbody"/>
        <w:spacing w:after="0"/>
        <w:ind w:left="851"/>
        <w:jc w:val="both"/>
        <w:rPr>
          <w:rFonts w:ascii="Arial" w:hAnsi="Arial" w:cs="Arial"/>
          <w:sz w:val="18"/>
          <w:szCs w:val="18"/>
          <w:lang w:eastAsia="cs-CZ"/>
        </w:rPr>
      </w:pPr>
      <w:r w:rsidRPr="00BD628C">
        <w:rPr>
          <w:rFonts w:ascii="Arial" w:hAnsi="Arial" w:cs="Arial"/>
          <w:b/>
          <w:bCs/>
          <w:sz w:val="18"/>
          <w:szCs w:val="18"/>
          <w:u w:val="single"/>
          <w:lang w:eastAsia="cs-CZ"/>
        </w:rPr>
        <w:t>Výše úhrady:</w:t>
      </w:r>
      <w:r w:rsidRPr="0017072A">
        <w:rPr>
          <w:rFonts w:ascii="Arial" w:hAnsi="Arial" w:cs="Arial"/>
          <w:sz w:val="18"/>
          <w:szCs w:val="18"/>
          <w:lang w:eastAsia="cs-CZ"/>
        </w:rPr>
        <w:t xml:space="preserve"> 1 500 Kč</w:t>
      </w:r>
    </w:p>
    <w:p w14:paraId="2AB0362B" w14:textId="532397EB" w:rsidR="0083780E" w:rsidRDefault="0083780E" w:rsidP="0083780E">
      <w:pPr>
        <w:pStyle w:val="Textbody"/>
        <w:spacing w:after="0"/>
        <w:ind w:left="851"/>
        <w:jc w:val="both"/>
        <w:rPr>
          <w:rFonts w:ascii="Arial" w:hAnsi="Arial" w:cs="Arial"/>
          <w:sz w:val="18"/>
          <w:szCs w:val="18"/>
          <w:lang w:eastAsia="cs-CZ"/>
        </w:rPr>
      </w:pPr>
      <w:r w:rsidRPr="00BD628C">
        <w:rPr>
          <w:rFonts w:ascii="Arial" w:hAnsi="Arial" w:cs="Arial"/>
          <w:b/>
          <w:bCs/>
          <w:sz w:val="18"/>
          <w:szCs w:val="18"/>
          <w:lang w:eastAsia="cs-CZ"/>
        </w:rPr>
        <w:t>Lokalizace:</w:t>
      </w:r>
      <w:r w:rsidRPr="0017072A">
        <w:rPr>
          <w:rFonts w:ascii="Arial" w:hAnsi="Arial" w:cs="Arial"/>
          <w:sz w:val="18"/>
          <w:szCs w:val="18"/>
          <w:lang w:eastAsia="cs-CZ"/>
        </w:rPr>
        <w:t xml:space="preserve"> čelist</w:t>
      </w:r>
    </w:p>
    <w:p w14:paraId="42C164E1" w14:textId="77777777" w:rsidR="0083780E" w:rsidRDefault="0083780E" w:rsidP="0080115D">
      <w:pPr>
        <w:pStyle w:val="Textbody"/>
        <w:spacing w:after="0"/>
        <w:ind w:left="709"/>
        <w:jc w:val="both"/>
        <w:rPr>
          <w:rFonts w:ascii="Arial" w:hAnsi="Arial"/>
          <w:sz w:val="18"/>
          <w:szCs w:val="18"/>
        </w:rPr>
      </w:pPr>
    </w:p>
    <w:p w14:paraId="411AE31D" w14:textId="160758BA" w:rsidR="0080115D" w:rsidRDefault="0080115D" w:rsidP="0080115D">
      <w:pPr>
        <w:pStyle w:val="Textbody"/>
        <w:spacing w:after="0"/>
        <w:ind w:left="709"/>
        <w:jc w:val="both"/>
        <w:rPr>
          <w:rFonts w:ascii="Arial" w:hAnsi="Arial"/>
          <w:sz w:val="18"/>
          <w:szCs w:val="18"/>
        </w:rPr>
      </w:pPr>
      <w:r>
        <w:rPr>
          <w:rFonts w:ascii="Arial" w:hAnsi="Arial"/>
          <w:sz w:val="18"/>
          <w:szCs w:val="18"/>
        </w:rPr>
        <w:t>Podpisem tohoto Dodatku smluvní strany sjednávají pro rok 2022</w:t>
      </w:r>
      <w:r w:rsidR="005C6B95">
        <w:rPr>
          <w:rFonts w:ascii="Arial" w:hAnsi="Arial"/>
          <w:sz w:val="18"/>
          <w:szCs w:val="18"/>
        </w:rPr>
        <w:t xml:space="preserve"> jak výkony s VZP kódy 00800 a 00801 definované výše, tak výkony s kódy 00995, 00996, 00997, 00998 a 00999 uvedené ve vyhlášce</w:t>
      </w:r>
      <w:r>
        <w:rPr>
          <w:rFonts w:ascii="Arial" w:hAnsi="Arial"/>
          <w:sz w:val="18"/>
          <w:szCs w:val="18"/>
        </w:rPr>
        <w:t>.</w:t>
      </w:r>
    </w:p>
    <w:p w14:paraId="75D3D8F6" w14:textId="38C0C293" w:rsidR="0080115D" w:rsidRPr="00B141C1" w:rsidRDefault="0080115D" w:rsidP="0080115D">
      <w:pPr>
        <w:pStyle w:val="Textbody"/>
        <w:spacing w:after="0"/>
        <w:jc w:val="both"/>
        <w:rPr>
          <w:rFonts w:ascii="Arial" w:hAnsi="Arial"/>
          <w:sz w:val="18"/>
          <w:szCs w:val="18"/>
        </w:rPr>
      </w:pPr>
    </w:p>
    <w:p w14:paraId="25FEB9A4" w14:textId="00F6E633" w:rsidR="00AC4C7D" w:rsidRPr="00B141C1" w:rsidRDefault="00AC4C7D" w:rsidP="00AC4C7D">
      <w:pPr>
        <w:pStyle w:val="Zkladntext"/>
        <w:widowControl w:val="0"/>
        <w:numPr>
          <w:ilvl w:val="0"/>
          <w:numId w:val="10"/>
        </w:numPr>
        <w:suppressAutoHyphens/>
        <w:ind w:left="426" w:hanging="426"/>
        <w:rPr>
          <w:rFonts w:ascii="Arial" w:eastAsia="Arial" w:hAnsi="Arial" w:cs="Arial"/>
          <w:color w:val="auto"/>
          <w:sz w:val="18"/>
          <w:szCs w:val="18"/>
        </w:rPr>
      </w:pPr>
      <w:r w:rsidRPr="00B141C1">
        <w:rPr>
          <w:rFonts w:ascii="Arial" w:eastAsia="Arial" w:hAnsi="Arial" w:cs="Arial"/>
          <w:sz w:val="18"/>
          <w:szCs w:val="18"/>
        </w:rPr>
        <w:t>Zdravotní pojišťovna uhradí v termínech splatnosti dohodnutých ve Smlouvě o poskytování a úhradě zdravotních služeb hrazených z veřejného zdravotního pojištění, případně Smlouvě o poskytování a úhradě zdravotní péče hrazené z veřejného zdravotního pojištění (dále jen „</w:t>
      </w:r>
      <w:r w:rsidRPr="00B141C1">
        <w:rPr>
          <w:rFonts w:ascii="Arial" w:eastAsia="Arial" w:hAnsi="Arial" w:cs="Arial"/>
          <w:b/>
          <w:bCs/>
          <w:sz w:val="18"/>
          <w:szCs w:val="18"/>
        </w:rPr>
        <w:t>Smlouva</w:t>
      </w:r>
      <w:r w:rsidRPr="00B141C1">
        <w:rPr>
          <w:rFonts w:ascii="Arial" w:eastAsia="Arial" w:hAnsi="Arial" w:cs="Arial"/>
          <w:sz w:val="18"/>
          <w:szCs w:val="18"/>
        </w:rPr>
        <w:t>“) Poskytovateli zdravotní služby hrazené z veřejného zdravotního pojištění (hrazené služby), pokud byly poskytnuty jejím pojištěncům v souladu s obecně závaznými právními předpisy v odbornostech a rozsahu dohodnutých a vymezených v příslušných přílohách Smlouvy a při splnění všech podmínek stanovených Smlouvou a obecně závaznými právními předpisy</w:t>
      </w:r>
      <w:r w:rsidRPr="00B141C1">
        <w:rPr>
          <w:rFonts w:ascii="Arial" w:eastAsia="Arial" w:hAnsi="Arial" w:cs="Arial"/>
          <w:color w:val="auto"/>
          <w:sz w:val="18"/>
          <w:szCs w:val="18"/>
        </w:rPr>
        <w:t xml:space="preserve">. Termíny splatnosti dohodnuté ve Smlouvě se v návaznosti na činnost Kapitačního centra upravují tak, že, pokud je termín splatnosti kratší než </w:t>
      </w:r>
      <w:r w:rsidR="004C1D63" w:rsidRPr="00B141C1">
        <w:rPr>
          <w:rFonts w:ascii="Arial" w:eastAsia="Arial" w:hAnsi="Arial" w:cs="Arial"/>
          <w:color w:val="auto"/>
          <w:sz w:val="18"/>
          <w:szCs w:val="18"/>
        </w:rPr>
        <w:t>10</w:t>
      </w:r>
      <w:r w:rsidRPr="00B141C1">
        <w:rPr>
          <w:rFonts w:ascii="Arial" w:eastAsia="Arial" w:hAnsi="Arial" w:cs="Arial"/>
          <w:color w:val="auto"/>
          <w:sz w:val="18"/>
          <w:szCs w:val="18"/>
        </w:rPr>
        <w:t xml:space="preserve"> pracovních dnů po převedení údajů z Kapitačního centra, pak se za termín splatnosti považuje </w:t>
      </w:r>
      <w:r w:rsidR="00B141C1" w:rsidRPr="00B141C1">
        <w:rPr>
          <w:rFonts w:ascii="Arial" w:eastAsia="Arial" w:hAnsi="Arial" w:cs="Arial"/>
          <w:color w:val="auto"/>
          <w:sz w:val="18"/>
          <w:szCs w:val="18"/>
        </w:rPr>
        <w:t>desátý</w:t>
      </w:r>
      <w:r w:rsidRPr="00B141C1">
        <w:rPr>
          <w:rFonts w:ascii="Arial" w:eastAsia="Arial" w:hAnsi="Arial" w:cs="Arial"/>
          <w:color w:val="auto"/>
          <w:sz w:val="18"/>
          <w:szCs w:val="18"/>
        </w:rPr>
        <w:t xml:space="preserve"> pracovní den následující po datu převzetí údajů z Kapitačního centra Zdravotní pojišťovnou.</w:t>
      </w:r>
    </w:p>
    <w:p w14:paraId="38248472" w14:textId="77777777" w:rsidR="00AC4C7D" w:rsidRPr="00B141C1" w:rsidRDefault="00AC4C7D" w:rsidP="00AC4C7D">
      <w:pPr>
        <w:pStyle w:val="Zkladntext"/>
        <w:widowControl w:val="0"/>
        <w:numPr>
          <w:ilvl w:val="0"/>
          <w:numId w:val="10"/>
        </w:numPr>
        <w:suppressAutoHyphens/>
        <w:ind w:left="426" w:hanging="426"/>
        <w:rPr>
          <w:rFonts w:ascii="Arial" w:eastAsia="Arial" w:hAnsi="Arial" w:cs="Arial"/>
          <w:sz w:val="18"/>
          <w:szCs w:val="18"/>
        </w:rPr>
      </w:pPr>
      <w:r w:rsidRPr="00B141C1">
        <w:rPr>
          <w:rFonts w:ascii="Arial" w:eastAsia="Arial" w:hAnsi="Arial" w:cs="Arial"/>
          <w:sz w:val="18"/>
          <w:szCs w:val="18"/>
        </w:rPr>
        <w:t xml:space="preserve">Základním fakturačním obdobím je kalendářní měsíc. </w:t>
      </w:r>
    </w:p>
    <w:p w14:paraId="0935D844" w14:textId="5F76B03A" w:rsidR="00435E9D" w:rsidRDefault="00435E9D" w:rsidP="00AC4C7D">
      <w:pPr>
        <w:pStyle w:val="Zkladntext"/>
        <w:widowControl w:val="0"/>
        <w:numPr>
          <w:ilvl w:val="0"/>
          <w:numId w:val="10"/>
        </w:numPr>
        <w:suppressAutoHyphens/>
        <w:ind w:left="426" w:hanging="426"/>
        <w:rPr>
          <w:rFonts w:ascii="Arial" w:eastAsia="Arial" w:hAnsi="Arial" w:cs="Arial"/>
          <w:sz w:val="18"/>
          <w:szCs w:val="18"/>
        </w:rPr>
      </w:pPr>
      <w:r w:rsidRPr="00B141C1">
        <w:rPr>
          <w:rFonts w:ascii="Arial" w:eastAsia="Arial" w:hAnsi="Arial" w:cs="Arial"/>
          <w:sz w:val="18"/>
          <w:szCs w:val="18"/>
        </w:rPr>
        <w:t>Poskytovatel se zavazuje předávat doklady o změnách v registraci pojištěnců nejpozději do 5. kalendářního dne měsíce</w:t>
      </w:r>
      <w:r w:rsidR="00F56432">
        <w:rPr>
          <w:rFonts w:ascii="Arial" w:eastAsia="Arial" w:hAnsi="Arial" w:cs="Arial"/>
          <w:sz w:val="18"/>
          <w:szCs w:val="18"/>
        </w:rPr>
        <w:t xml:space="preserve"> </w:t>
      </w:r>
      <w:r w:rsidRPr="00B141C1">
        <w:rPr>
          <w:rFonts w:ascii="Arial" w:eastAsia="Arial" w:hAnsi="Arial" w:cs="Arial"/>
          <w:sz w:val="18"/>
          <w:szCs w:val="18"/>
        </w:rPr>
        <w:t xml:space="preserve">následujícího po měsíci, za který jsou nové registrace pojištěnců Zdravotní pojišťovny předávány. Na přihlášce registrovaných pojištěnců je Poskytovatel povinen uvádět odbornost pracoviště. Doklady o změnách v registraci pojištěnců předané po termínu uvedeném v předchozí větě nebudou podnětem pro přepočet výše </w:t>
      </w:r>
      <w:r w:rsidR="00B141C1" w:rsidRPr="00B141C1">
        <w:rPr>
          <w:rFonts w:ascii="Arial" w:eastAsia="Arial" w:hAnsi="Arial" w:cs="Arial"/>
          <w:sz w:val="18"/>
          <w:szCs w:val="18"/>
        </w:rPr>
        <w:t>agregované</w:t>
      </w:r>
      <w:r w:rsidRPr="00B141C1">
        <w:rPr>
          <w:rFonts w:ascii="Arial" w:eastAsia="Arial" w:hAnsi="Arial" w:cs="Arial"/>
          <w:sz w:val="18"/>
          <w:szCs w:val="18"/>
        </w:rPr>
        <w:t xml:space="preserve"> </w:t>
      </w:r>
      <w:r w:rsidR="00F56432">
        <w:rPr>
          <w:rFonts w:ascii="Arial" w:eastAsia="Arial" w:hAnsi="Arial" w:cs="Arial"/>
          <w:sz w:val="18"/>
          <w:szCs w:val="18"/>
        </w:rPr>
        <w:t>úhrady</w:t>
      </w:r>
      <w:r w:rsidRPr="00B141C1">
        <w:rPr>
          <w:rFonts w:ascii="Arial" w:eastAsia="Arial" w:hAnsi="Arial" w:cs="Arial"/>
          <w:sz w:val="18"/>
          <w:szCs w:val="18"/>
        </w:rPr>
        <w:t>.</w:t>
      </w:r>
    </w:p>
    <w:p w14:paraId="2489B9FA" w14:textId="4E35CF27" w:rsidR="00441340" w:rsidRPr="00B141C1" w:rsidRDefault="00441340" w:rsidP="00AC4C7D">
      <w:pPr>
        <w:pStyle w:val="Zkladntext"/>
        <w:widowControl w:val="0"/>
        <w:numPr>
          <w:ilvl w:val="0"/>
          <w:numId w:val="10"/>
        </w:numPr>
        <w:suppressAutoHyphens/>
        <w:ind w:left="426" w:hanging="426"/>
        <w:rPr>
          <w:rFonts w:ascii="Arial" w:eastAsia="Arial" w:hAnsi="Arial" w:cs="Arial"/>
          <w:sz w:val="18"/>
          <w:szCs w:val="18"/>
        </w:rPr>
      </w:pPr>
      <w:r>
        <w:rPr>
          <w:rFonts w:ascii="Arial" w:hAnsi="Arial"/>
          <w:sz w:val="18"/>
          <w:szCs w:val="18"/>
        </w:rPr>
        <w:t xml:space="preserve">V rámci celkového finančního vyrovnání obdrží Poskytovatel za každou vystavenou a Zdravotní pojišťovnou uznanou položku na receptu v elektronické podobě v roce 2022, na </w:t>
      </w:r>
      <w:proofErr w:type="gramStart"/>
      <w:r>
        <w:rPr>
          <w:rFonts w:ascii="Arial" w:hAnsi="Arial"/>
          <w:sz w:val="18"/>
          <w:szCs w:val="18"/>
        </w:rPr>
        <w:t>základě</w:t>
      </w:r>
      <w:proofErr w:type="gramEnd"/>
      <w:r>
        <w:rPr>
          <w:rFonts w:ascii="Arial" w:hAnsi="Arial"/>
          <w:sz w:val="18"/>
          <w:szCs w:val="18"/>
        </w:rPr>
        <w:t xml:space="preserve"> které dojde k výdeji léčivých přípravků plně či částečně hrazených z veřejného zdravotního pojištění, úhradu ve výši 1,70 Kč.</w:t>
      </w:r>
    </w:p>
    <w:p w14:paraId="44F3E98B" w14:textId="03B67E7C" w:rsidR="00C0393A" w:rsidRPr="00C64C14" w:rsidRDefault="00C0393A" w:rsidP="00AC4C7D">
      <w:pPr>
        <w:pStyle w:val="Textbody"/>
        <w:numPr>
          <w:ilvl w:val="0"/>
          <w:numId w:val="9"/>
        </w:numPr>
        <w:tabs>
          <w:tab w:val="left" w:pos="426"/>
        </w:tabs>
        <w:spacing w:after="0"/>
        <w:ind w:left="426" w:hanging="426"/>
        <w:jc w:val="both"/>
        <w:rPr>
          <w:rFonts w:ascii="Arial" w:hAnsi="Arial"/>
          <w:sz w:val="18"/>
          <w:szCs w:val="18"/>
        </w:rPr>
      </w:pPr>
      <w:r w:rsidRPr="00C64C14">
        <w:rPr>
          <w:rFonts w:ascii="Arial" w:hAnsi="Arial"/>
          <w:sz w:val="18"/>
          <w:szCs w:val="18"/>
        </w:rPr>
        <w:t xml:space="preserve">Smluvní strany se dohodly, že nad rámec výše uvedených úhrad </w:t>
      </w:r>
      <w:r w:rsidR="00DC7E92" w:rsidRPr="00C64C14">
        <w:rPr>
          <w:rFonts w:ascii="Arial" w:hAnsi="Arial"/>
          <w:sz w:val="18"/>
          <w:szCs w:val="18"/>
        </w:rPr>
        <w:t>může být</w:t>
      </w:r>
      <w:r w:rsidRPr="00C64C14">
        <w:rPr>
          <w:rFonts w:ascii="Arial" w:hAnsi="Arial"/>
          <w:sz w:val="18"/>
          <w:szCs w:val="18"/>
        </w:rPr>
        <w:t xml:space="preserve"> Poskytovateli </w:t>
      </w:r>
      <w:r w:rsidR="00DC7E92" w:rsidRPr="00C64C14">
        <w:rPr>
          <w:rFonts w:ascii="Arial" w:hAnsi="Arial"/>
          <w:sz w:val="18"/>
          <w:szCs w:val="18"/>
        </w:rPr>
        <w:t>vyplacena</w:t>
      </w:r>
      <w:r w:rsidRPr="00C64C14">
        <w:rPr>
          <w:rFonts w:ascii="Arial" w:hAnsi="Arial"/>
          <w:sz w:val="18"/>
          <w:szCs w:val="18"/>
        </w:rPr>
        <w:t xml:space="preserve"> bonifikace dle </w:t>
      </w:r>
      <w:r w:rsidR="007E2671">
        <w:rPr>
          <w:rFonts w:ascii="Arial" w:hAnsi="Arial"/>
          <w:sz w:val="18"/>
          <w:szCs w:val="18"/>
        </w:rPr>
        <w:t>p</w:t>
      </w:r>
      <w:r w:rsidRPr="00C64C14">
        <w:rPr>
          <w:rFonts w:ascii="Arial" w:hAnsi="Arial"/>
          <w:sz w:val="18"/>
          <w:szCs w:val="18"/>
        </w:rPr>
        <w:t xml:space="preserve">řílohy č. 1 </w:t>
      </w:r>
      <w:r w:rsidR="00DC7E92" w:rsidRPr="00C64C14">
        <w:rPr>
          <w:rFonts w:ascii="Arial" w:hAnsi="Arial"/>
          <w:sz w:val="18"/>
          <w:szCs w:val="18"/>
        </w:rPr>
        <w:t xml:space="preserve">tohoto </w:t>
      </w:r>
      <w:r w:rsidR="00F27E32">
        <w:rPr>
          <w:rFonts w:ascii="Arial" w:hAnsi="Arial"/>
          <w:sz w:val="18"/>
          <w:szCs w:val="18"/>
        </w:rPr>
        <w:t>D</w:t>
      </w:r>
      <w:r w:rsidR="00F27E32" w:rsidRPr="00C64C14">
        <w:rPr>
          <w:rFonts w:ascii="Arial" w:hAnsi="Arial"/>
          <w:sz w:val="18"/>
          <w:szCs w:val="18"/>
        </w:rPr>
        <w:t xml:space="preserve">odatku </w:t>
      </w:r>
      <w:r w:rsidR="00DC7E92" w:rsidRPr="00C64C14">
        <w:rPr>
          <w:rFonts w:ascii="Arial" w:hAnsi="Arial"/>
          <w:sz w:val="18"/>
          <w:szCs w:val="18"/>
        </w:rPr>
        <w:t>v návaznosti na</w:t>
      </w:r>
      <w:r w:rsidRPr="00C64C14">
        <w:rPr>
          <w:rFonts w:ascii="Arial" w:hAnsi="Arial"/>
          <w:sz w:val="18"/>
          <w:szCs w:val="18"/>
        </w:rPr>
        <w:t xml:space="preserve"> hodnocení kvality poskytov</w:t>
      </w:r>
      <w:r w:rsidR="00DC7E92" w:rsidRPr="00C64C14">
        <w:rPr>
          <w:rFonts w:ascii="Arial" w:hAnsi="Arial"/>
          <w:sz w:val="18"/>
          <w:szCs w:val="18"/>
        </w:rPr>
        <w:t>aných zdravotních služeb Poskytovatelem ze strany</w:t>
      </w:r>
      <w:r w:rsidRPr="00C64C14">
        <w:rPr>
          <w:rFonts w:ascii="Arial" w:hAnsi="Arial"/>
          <w:sz w:val="18"/>
          <w:szCs w:val="18"/>
        </w:rPr>
        <w:t xml:space="preserve"> pojištěnc</w:t>
      </w:r>
      <w:r w:rsidR="00DC7E92" w:rsidRPr="00C64C14">
        <w:rPr>
          <w:rFonts w:ascii="Arial" w:hAnsi="Arial"/>
          <w:sz w:val="18"/>
          <w:szCs w:val="18"/>
        </w:rPr>
        <w:t>ů</w:t>
      </w:r>
      <w:r w:rsidRPr="00C64C14">
        <w:rPr>
          <w:rFonts w:ascii="Arial" w:hAnsi="Arial"/>
          <w:sz w:val="18"/>
          <w:szCs w:val="18"/>
        </w:rPr>
        <w:t>.</w:t>
      </w:r>
    </w:p>
    <w:p w14:paraId="65184D13" w14:textId="24530463" w:rsidR="004C1152" w:rsidRDefault="008A7986" w:rsidP="008A7986">
      <w:pPr>
        <w:pStyle w:val="Textbody"/>
        <w:numPr>
          <w:ilvl w:val="0"/>
          <w:numId w:val="9"/>
        </w:numPr>
        <w:tabs>
          <w:tab w:val="left" w:pos="426"/>
        </w:tabs>
        <w:spacing w:after="0"/>
        <w:ind w:left="395" w:hanging="395"/>
        <w:jc w:val="both"/>
        <w:rPr>
          <w:rFonts w:ascii="Arial" w:hAnsi="Arial"/>
          <w:sz w:val="18"/>
          <w:szCs w:val="18"/>
        </w:rPr>
      </w:pPr>
      <w:r w:rsidRPr="00C64C14">
        <w:rPr>
          <w:rFonts w:ascii="Arial" w:hAnsi="Arial"/>
          <w:sz w:val="18"/>
          <w:szCs w:val="18"/>
        </w:rPr>
        <w:t>Poskytovatel se zavazuje, že vyúčtování za poskytnuté zdravotní služby bude postupovat Zdravotní pojišťovnou stanovenému</w:t>
      </w:r>
      <w:r w:rsidRPr="00BF4DD1">
        <w:rPr>
          <w:rFonts w:ascii="Arial" w:hAnsi="Arial"/>
          <w:sz w:val="18"/>
          <w:szCs w:val="18"/>
        </w:rPr>
        <w:t xml:space="preserve"> místně příslušnému pracovišti Zdravotní pojišťovny. Nebude-li tento závazek ze strany Poskytovatele splněn, lhůta splatnosti</w:t>
      </w:r>
      <w:r w:rsidRPr="008A7986">
        <w:rPr>
          <w:rFonts w:ascii="Arial" w:hAnsi="Arial"/>
          <w:sz w:val="18"/>
          <w:szCs w:val="18"/>
        </w:rPr>
        <w:t xml:space="preserve"> dohodnutá smluvními stranami se prodlužuje o dobu nezbytnou k doručení vyúčtování příslušnému pracovišti Zdravotní pojišťovny.</w:t>
      </w:r>
    </w:p>
    <w:p w14:paraId="0A92784E" w14:textId="77777777" w:rsidR="00C64C14" w:rsidRDefault="00C64C14" w:rsidP="00AC4C7D">
      <w:pPr>
        <w:pStyle w:val="Textbody"/>
        <w:numPr>
          <w:ilvl w:val="0"/>
          <w:numId w:val="13"/>
        </w:numPr>
        <w:tabs>
          <w:tab w:val="left" w:pos="426"/>
        </w:tabs>
        <w:spacing w:after="0"/>
        <w:ind w:left="426" w:hanging="426"/>
        <w:jc w:val="both"/>
        <w:rPr>
          <w:rFonts w:ascii="Arial" w:hAnsi="Arial"/>
          <w:sz w:val="18"/>
          <w:szCs w:val="18"/>
        </w:rPr>
      </w:pPr>
      <w:r w:rsidRPr="00BF4DD1">
        <w:rPr>
          <w:rFonts w:ascii="Arial" w:hAnsi="Arial"/>
          <w:sz w:val="18"/>
          <w:szCs w:val="18"/>
        </w:rPr>
        <w:t xml:space="preserve">Poskytovatel se zavazuje, že vyúčtování za poskytnuté zdravotní služby bude postupovat Zdravotní pojišťovnou stanovenému </w:t>
      </w:r>
      <w:r w:rsidRPr="00BF4DD1">
        <w:rPr>
          <w:rFonts w:ascii="Arial" w:hAnsi="Arial"/>
          <w:sz w:val="18"/>
          <w:szCs w:val="18"/>
        </w:rPr>
        <w:lastRenderedPageBreak/>
        <w:t>místně příslušnému pracovišti Zdravotní pojišťovny. Nebude-li tento závazek ze strany Poskytovatele splněn, lhůta splatnosti</w:t>
      </w:r>
      <w:r w:rsidRPr="008A7986">
        <w:rPr>
          <w:rFonts w:ascii="Arial" w:hAnsi="Arial"/>
          <w:sz w:val="18"/>
          <w:szCs w:val="18"/>
        </w:rPr>
        <w:t xml:space="preserve"> dohodnutá smluvními stranami se prodlužuje o dobu nezbytnou k doručení vyúčtování příslušnému pracovišti Zdravotní pojišťovny.</w:t>
      </w:r>
    </w:p>
    <w:p w14:paraId="65184D15" w14:textId="77777777" w:rsidR="00F4468E" w:rsidRPr="007607C7" w:rsidRDefault="00F4468E" w:rsidP="00F4468E">
      <w:pPr>
        <w:pStyle w:val="Zkladntext"/>
        <w:spacing w:before="20"/>
        <w:jc w:val="center"/>
        <w:rPr>
          <w:rFonts w:ascii="Arial" w:hAnsi="Arial" w:cs="Arial"/>
          <w:b/>
          <w:sz w:val="18"/>
          <w:szCs w:val="18"/>
        </w:rPr>
      </w:pPr>
      <w:r w:rsidRPr="007607C7">
        <w:rPr>
          <w:rFonts w:ascii="Arial" w:hAnsi="Arial" w:cs="Arial"/>
          <w:b/>
          <w:sz w:val="18"/>
          <w:szCs w:val="18"/>
        </w:rPr>
        <w:t>III.</w:t>
      </w:r>
    </w:p>
    <w:p w14:paraId="789B7AB6" w14:textId="23903508" w:rsidR="00BE431F" w:rsidRPr="007607C7" w:rsidRDefault="00BE431F" w:rsidP="00BE431F">
      <w:pPr>
        <w:pStyle w:val="Zkladntext"/>
        <w:numPr>
          <w:ilvl w:val="0"/>
          <w:numId w:val="4"/>
        </w:numPr>
        <w:ind w:hanging="420"/>
        <w:rPr>
          <w:rFonts w:ascii="Arial" w:hAnsi="Arial" w:cs="Arial"/>
          <w:sz w:val="18"/>
          <w:szCs w:val="18"/>
        </w:rPr>
      </w:pPr>
      <w:r w:rsidRPr="007607C7">
        <w:rPr>
          <w:rFonts w:ascii="Arial" w:hAnsi="Arial" w:cs="Arial"/>
          <w:sz w:val="18"/>
          <w:szCs w:val="18"/>
        </w:rPr>
        <w:t>Smlouvou ve smyslu tohoto Dodatku je dříve uzavřená příslušná Smlouva o poskytování a úhradě zdravotní péče, resp. příslušná Smlouva o poskytování a úhradě zdravotních služeb hrazených z veřejného zdravotního pojištění</w:t>
      </w:r>
      <w:r>
        <w:rPr>
          <w:rFonts w:ascii="Arial" w:hAnsi="Arial" w:cs="Arial"/>
          <w:sz w:val="18"/>
          <w:szCs w:val="18"/>
        </w:rPr>
        <w:t xml:space="preserve"> (dále jen „Smlouva“)</w:t>
      </w:r>
      <w:r w:rsidRPr="007607C7">
        <w:rPr>
          <w:rFonts w:ascii="Arial" w:hAnsi="Arial" w:cs="Arial"/>
          <w:sz w:val="18"/>
          <w:szCs w:val="18"/>
        </w:rPr>
        <w:t>.</w:t>
      </w:r>
      <w:r w:rsidR="00F56432">
        <w:rPr>
          <w:rFonts w:ascii="Arial" w:hAnsi="Arial" w:cs="Arial"/>
          <w:sz w:val="18"/>
          <w:szCs w:val="18"/>
        </w:rPr>
        <w:t xml:space="preserve"> </w:t>
      </w:r>
      <w:r w:rsidR="00F56432" w:rsidRPr="004E3F5F">
        <w:rPr>
          <w:rFonts w:ascii="Arial" w:hAnsi="Arial" w:cs="Arial"/>
          <w:sz w:val="18"/>
          <w:szCs w:val="18"/>
        </w:rPr>
        <w:t>Smluvní strany prohlašují, že</w:t>
      </w:r>
      <w:r w:rsidR="00E378AF">
        <w:rPr>
          <w:rFonts w:ascii="Arial" w:hAnsi="Arial" w:cs="Arial"/>
          <w:sz w:val="18"/>
          <w:szCs w:val="18"/>
        </w:rPr>
        <w:t xml:space="preserve"> prostřednictvím</w:t>
      </w:r>
      <w:r w:rsidR="00F56432" w:rsidRPr="004E3F5F">
        <w:rPr>
          <w:rFonts w:ascii="Arial" w:hAnsi="Arial" w:cs="Arial"/>
          <w:sz w:val="18"/>
          <w:szCs w:val="18"/>
        </w:rPr>
        <w:t xml:space="preserve"> dohod</w:t>
      </w:r>
      <w:r w:rsidR="00E378AF">
        <w:rPr>
          <w:rFonts w:ascii="Arial" w:hAnsi="Arial" w:cs="Arial"/>
          <w:sz w:val="18"/>
          <w:szCs w:val="18"/>
        </w:rPr>
        <w:t>y</w:t>
      </w:r>
      <w:r w:rsidR="00F56432" w:rsidRPr="004E3F5F">
        <w:rPr>
          <w:rFonts w:ascii="Arial" w:hAnsi="Arial" w:cs="Arial"/>
          <w:sz w:val="18"/>
          <w:szCs w:val="18"/>
        </w:rPr>
        <w:t xml:space="preserve"> uveden</w:t>
      </w:r>
      <w:r w:rsidR="00E378AF">
        <w:rPr>
          <w:rFonts w:ascii="Arial" w:hAnsi="Arial" w:cs="Arial"/>
          <w:sz w:val="18"/>
          <w:szCs w:val="18"/>
        </w:rPr>
        <w:t>é</w:t>
      </w:r>
      <w:r w:rsidR="00F56432" w:rsidRPr="004E3F5F">
        <w:rPr>
          <w:rFonts w:ascii="Arial" w:hAnsi="Arial" w:cs="Arial"/>
          <w:sz w:val="18"/>
          <w:szCs w:val="18"/>
        </w:rPr>
        <w:t xml:space="preserve"> v článku II. tohoto Dodatku </w:t>
      </w:r>
      <w:r w:rsidR="00E378AF">
        <w:rPr>
          <w:rFonts w:ascii="Arial" w:hAnsi="Arial" w:cs="Arial"/>
          <w:sz w:val="18"/>
          <w:szCs w:val="18"/>
        </w:rPr>
        <w:t>může být upraven</w:t>
      </w:r>
      <w:r w:rsidR="00F56432" w:rsidRPr="004E3F5F">
        <w:rPr>
          <w:rFonts w:ascii="Arial" w:hAnsi="Arial" w:cs="Arial"/>
          <w:sz w:val="18"/>
          <w:szCs w:val="18"/>
        </w:rPr>
        <w:t xml:space="preserve"> způsob a</w:t>
      </w:r>
      <w:r w:rsidR="00F56432">
        <w:rPr>
          <w:rFonts w:ascii="Arial" w:hAnsi="Arial" w:cs="Arial"/>
          <w:sz w:val="18"/>
          <w:szCs w:val="18"/>
        </w:rPr>
        <w:t> </w:t>
      </w:r>
      <w:r w:rsidR="00F56432" w:rsidRPr="004E3F5F">
        <w:rPr>
          <w:rFonts w:ascii="Arial" w:hAnsi="Arial" w:cs="Arial"/>
          <w:sz w:val="18"/>
          <w:szCs w:val="18"/>
        </w:rPr>
        <w:t>výš</w:t>
      </w:r>
      <w:r w:rsidR="00E378AF">
        <w:rPr>
          <w:rFonts w:ascii="Arial" w:hAnsi="Arial" w:cs="Arial"/>
          <w:sz w:val="18"/>
          <w:szCs w:val="18"/>
        </w:rPr>
        <w:t>e</w:t>
      </w:r>
      <w:r w:rsidR="00F56432" w:rsidRPr="004E3F5F">
        <w:rPr>
          <w:rFonts w:ascii="Arial" w:hAnsi="Arial" w:cs="Arial"/>
          <w:sz w:val="18"/>
          <w:szCs w:val="18"/>
        </w:rPr>
        <w:t xml:space="preserve"> úhrady jiným způsobem, než jak pro výše uvedené období stanoví </w:t>
      </w:r>
      <w:r w:rsidR="00F56432">
        <w:rPr>
          <w:rFonts w:ascii="Arial" w:hAnsi="Arial" w:cs="Arial"/>
          <w:sz w:val="18"/>
          <w:szCs w:val="18"/>
        </w:rPr>
        <w:t>V</w:t>
      </w:r>
      <w:r w:rsidR="00F56432" w:rsidRPr="004E3F5F">
        <w:rPr>
          <w:rFonts w:ascii="Arial" w:hAnsi="Arial" w:cs="Arial"/>
          <w:sz w:val="18"/>
          <w:szCs w:val="18"/>
        </w:rPr>
        <w:t>yhláška. Tímto prohlášením a</w:t>
      </w:r>
      <w:r w:rsidR="00F56432">
        <w:rPr>
          <w:rFonts w:ascii="Arial" w:hAnsi="Arial" w:cs="Arial"/>
          <w:sz w:val="18"/>
          <w:szCs w:val="18"/>
        </w:rPr>
        <w:t> </w:t>
      </w:r>
      <w:r w:rsidR="00F56432" w:rsidRPr="004E3F5F">
        <w:rPr>
          <w:rFonts w:ascii="Arial" w:hAnsi="Arial" w:cs="Arial"/>
          <w:sz w:val="18"/>
          <w:szCs w:val="18"/>
        </w:rPr>
        <w:t xml:space="preserve">zveřejněním tohoto Dodatku smluvní strany plní svou povinnost dle § 17 odst. 9 věty čtvrté </w:t>
      </w:r>
      <w:r w:rsidR="00F56432">
        <w:rPr>
          <w:rFonts w:ascii="Arial" w:hAnsi="Arial" w:cs="Arial"/>
          <w:sz w:val="18"/>
          <w:szCs w:val="18"/>
        </w:rPr>
        <w:t>Zákona.</w:t>
      </w:r>
    </w:p>
    <w:p w14:paraId="65184D17" w14:textId="7E104289" w:rsidR="00A95676" w:rsidRPr="007607C7" w:rsidRDefault="00DE51C4" w:rsidP="00A95676">
      <w:pPr>
        <w:pStyle w:val="Zkladntext"/>
        <w:numPr>
          <w:ilvl w:val="0"/>
          <w:numId w:val="4"/>
        </w:numPr>
        <w:ind w:hanging="420"/>
        <w:rPr>
          <w:rFonts w:ascii="Arial" w:hAnsi="Arial" w:cs="Arial"/>
          <w:sz w:val="18"/>
          <w:szCs w:val="18"/>
        </w:rPr>
      </w:pPr>
      <w:r>
        <w:rPr>
          <w:rFonts w:ascii="Arial" w:hAnsi="Arial" w:cs="Arial"/>
          <w:sz w:val="18"/>
          <w:szCs w:val="18"/>
        </w:rPr>
        <w:t>Poměry</w:t>
      </w:r>
      <w:r w:rsidR="00A95676" w:rsidRPr="007607C7">
        <w:rPr>
          <w:rFonts w:ascii="Arial" w:hAnsi="Arial" w:cs="Arial"/>
          <w:sz w:val="18"/>
          <w:szCs w:val="18"/>
        </w:rPr>
        <w:t xml:space="preserve">, které nejsou výslovně upraveny tímto Dodatkem, se řídí příslušnými ustanoveními platné Smlouvy. </w:t>
      </w:r>
    </w:p>
    <w:p w14:paraId="65184D18" w14:textId="4AC85846" w:rsidR="00A95676" w:rsidRPr="007607C7" w:rsidRDefault="00A95676" w:rsidP="00A95676">
      <w:pPr>
        <w:pStyle w:val="Zkladntext"/>
        <w:numPr>
          <w:ilvl w:val="0"/>
          <w:numId w:val="4"/>
        </w:numPr>
        <w:ind w:hanging="420"/>
        <w:rPr>
          <w:rFonts w:ascii="Arial" w:hAnsi="Arial" w:cs="Arial"/>
          <w:color w:val="auto"/>
          <w:sz w:val="18"/>
          <w:szCs w:val="18"/>
        </w:rPr>
      </w:pPr>
      <w:r w:rsidRPr="007607C7">
        <w:rPr>
          <w:rFonts w:ascii="Arial" w:hAnsi="Arial" w:cs="Arial"/>
          <w:color w:val="auto"/>
          <w:sz w:val="18"/>
          <w:szCs w:val="18"/>
        </w:rPr>
        <w:t>Tento Dodatek se stává nedílnou součástí platné Smlouvy.</w:t>
      </w:r>
    </w:p>
    <w:p w14:paraId="702C433D" w14:textId="77777777" w:rsidR="00BE431F" w:rsidRPr="007607C7" w:rsidRDefault="00BE431F" w:rsidP="00BE431F">
      <w:pPr>
        <w:pStyle w:val="Zkladntext"/>
        <w:numPr>
          <w:ilvl w:val="0"/>
          <w:numId w:val="4"/>
        </w:numPr>
        <w:ind w:hanging="420"/>
        <w:rPr>
          <w:rFonts w:ascii="Arial" w:hAnsi="Arial" w:cs="Arial"/>
          <w:color w:val="auto"/>
          <w:sz w:val="18"/>
          <w:szCs w:val="18"/>
        </w:rPr>
      </w:pPr>
      <w:r w:rsidRPr="007607C7">
        <w:rPr>
          <w:rFonts w:ascii="Arial" w:hAnsi="Arial" w:cs="Arial"/>
          <w:color w:val="auto"/>
          <w:sz w:val="18"/>
          <w:szCs w:val="18"/>
        </w:rPr>
        <w:t xml:space="preserve">Tento Dodatek nabývá platnosti dnem podpisu </w:t>
      </w:r>
      <w:r>
        <w:rPr>
          <w:rFonts w:ascii="Arial" w:hAnsi="Arial" w:cs="Arial"/>
          <w:color w:val="auto"/>
          <w:sz w:val="18"/>
          <w:szCs w:val="18"/>
        </w:rPr>
        <w:t xml:space="preserve">oběma smluvními stranami </w:t>
      </w:r>
      <w:r w:rsidRPr="007607C7">
        <w:rPr>
          <w:rFonts w:ascii="Arial" w:hAnsi="Arial" w:cs="Arial"/>
          <w:color w:val="auto"/>
          <w:sz w:val="18"/>
          <w:szCs w:val="18"/>
        </w:rPr>
        <w:t>a účinnost</w:t>
      </w:r>
      <w:r>
        <w:rPr>
          <w:rFonts w:ascii="Arial" w:hAnsi="Arial" w:cs="Arial"/>
          <w:color w:val="auto"/>
          <w:sz w:val="18"/>
          <w:szCs w:val="18"/>
        </w:rPr>
        <w:t>i</w:t>
      </w:r>
      <w:r w:rsidRPr="007607C7">
        <w:rPr>
          <w:rFonts w:ascii="Arial" w:hAnsi="Arial" w:cs="Arial"/>
          <w:color w:val="auto"/>
          <w:sz w:val="18"/>
          <w:szCs w:val="18"/>
        </w:rPr>
        <w:t xml:space="preserve"> dnem zveřejnění podle zákona </w:t>
      </w:r>
      <w:r>
        <w:rPr>
          <w:rFonts w:ascii="Arial" w:hAnsi="Arial" w:cs="Arial"/>
          <w:color w:val="auto"/>
          <w:sz w:val="18"/>
          <w:szCs w:val="18"/>
        </w:rPr>
        <w:t xml:space="preserve">č. 48/1997 Sb., </w:t>
      </w:r>
      <w:r w:rsidRPr="007607C7">
        <w:rPr>
          <w:rFonts w:ascii="Arial" w:hAnsi="Arial" w:cs="Arial"/>
          <w:color w:val="auto"/>
          <w:sz w:val="18"/>
          <w:szCs w:val="18"/>
        </w:rPr>
        <w:t>o veřejném zdravotním pojištění</w:t>
      </w:r>
      <w:r>
        <w:rPr>
          <w:rFonts w:ascii="Arial" w:hAnsi="Arial" w:cs="Arial"/>
          <w:color w:val="auto"/>
          <w:sz w:val="18"/>
          <w:szCs w:val="18"/>
        </w:rPr>
        <w:t xml:space="preserve"> a o změně a doplnění některých souvisejících zákonů</w:t>
      </w:r>
      <w:r w:rsidRPr="007607C7">
        <w:rPr>
          <w:rFonts w:ascii="Arial" w:hAnsi="Arial" w:cs="Arial"/>
          <w:color w:val="auto"/>
          <w:sz w:val="18"/>
          <w:szCs w:val="18"/>
        </w:rPr>
        <w:t xml:space="preserve">. </w:t>
      </w:r>
    </w:p>
    <w:p w14:paraId="65184D1A" w14:textId="15B968D5" w:rsidR="00A95676" w:rsidRPr="007607C7" w:rsidRDefault="00A95676" w:rsidP="00A95676">
      <w:pPr>
        <w:pStyle w:val="Zkladntext"/>
        <w:numPr>
          <w:ilvl w:val="0"/>
          <w:numId w:val="4"/>
        </w:numPr>
        <w:ind w:hanging="420"/>
        <w:rPr>
          <w:rFonts w:ascii="Arial" w:hAnsi="Arial" w:cs="Arial"/>
          <w:color w:val="auto"/>
          <w:sz w:val="18"/>
          <w:szCs w:val="18"/>
        </w:rPr>
      </w:pPr>
      <w:r w:rsidRPr="007607C7">
        <w:rPr>
          <w:rFonts w:ascii="Arial" w:hAnsi="Arial" w:cs="Arial"/>
          <w:color w:val="auto"/>
          <w:sz w:val="18"/>
          <w:szCs w:val="18"/>
        </w:rPr>
        <w:t xml:space="preserve">Smluvní strany se dohodly, že tento Dodatek, a zejména způsob úhrady, výše úhrady a regulační omezení úhrady sjednané v tomto Dodatku, se použijí pro období od </w:t>
      </w:r>
      <w:r w:rsidRPr="007607C7">
        <w:rPr>
          <w:rFonts w:ascii="Arial" w:hAnsi="Arial" w:cs="Arial"/>
          <w:color w:val="FF0000"/>
          <w:sz w:val="18"/>
          <w:szCs w:val="18"/>
          <w:highlight w:val="yellow"/>
        </w:rPr>
        <w:t>DATUM</w:t>
      </w:r>
      <w:r w:rsidRPr="007607C7">
        <w:rPr>
          <w:rFonts w:ascii="Arial" w:hAnsi="Arial" w:cs="Arial"/>
          <w:color w:val="auto"/>
          <w:sz w:val="18"/>
          <w:szCs w:val="18"/>
        </w:rPr>
        <w:t xml:space="preserve"> do 31.12.</w:t>
      </w:r>
      <w:r w:rsidR="00705030">
        <w:rPr>
          <w:rFonts w:ascii="Arial" w:hAnsi="Arial" w:cs="Arial"/>
          <w:color w:val="auto"/>
          <w:sz w:val="18"/>
          <w:szCs w:val="18"/>
        </w:rPr>
        <w:t>202</w:t>
      </w:r>
      <w:r w:rsidR="0017441F">
        <w:rPr>
          <w:rFonts w:ascii="Arial" w:hAnsi="Arial" w:cs="Arial"/>
          <w:color w:val="auto"/>
          <w:sz w:val="18"/>
          <w:szCs w:val="18"/>
        </w:rPr>
        <w:t>2</w:t>
      </w:r>
      <w:r w:rsidRPr="007607C7">
        <w:rPr>
          <w:rFonts w:ascii="Arial" w:hAnsi="Arial" w:cs="Arial"/>
          <w:color w:val="auto"/>
          <w:sz w:val="18"/>
          <w:szCs w:val="18"/>
        </w:rPr>
        <w:t>.</w:t>
      </w:r>
    </w:p>
    <w:p w14:paraId="65184D1B" w14:textId="2A7A9889" w:rsidR="00A95676" w:rsidRPr="007607C7" w:rsidRDefault="00A95676" w:rsidP="00A95676">
      <w:pPr>
        <w:pStyle w:val="Odstavecseseznamem"/>
        <w:numPr>
          <w:ilvl w:val="0"/>
          <w:numId w:val="4"/>
        </w:numPr>
        <w:ind w:hanging="420"/>
        <w:contextualSpacing/>
        <w:jc w:val="both"/>
        <w:rPr>
          <w:rFonts w:ascii="Arial" w:hAnsi="Arial" w:cs="Arial"/>
          <w:sz w:val="18"/>
          <w:szCs w:val="18"/>
          <w:lang w:eastAsia="en-US"/>
        </w:rPr>
      </w:pPr>
      <w:r w:rsidRPr="007607C7">
        <w:rPr>
          <w:rFonts w:ascii="Arial" w:hAnsi="Arial" w:cs="Arial"/>
          <w:bCs/>
          <w:sz w:val="18"/>
          <w:szCs w:val="18"/>
          <w:lang w:eastAsia="en-US"/>
        </w:rPr>
        <w:t xml:space="preserve">Smluvní strany berou na vědomí, že Smlouva včetně jejích příloh, změn a všech dodatků, z nichž vyplývá výše úhrady </w:t>
      </w:r>
      <w:r w:rsidR="00DE51C4">
        <w:rPr>
          <w:rFonts w:ascii="Arial" w:hAnsi="Arial" w:cs="Arial"/>
          <w:bCs/>
          <w:sz w:val="18"/>
          <w:szCs w:val="18"/>
          <w:lang w:eastAsia="en-US"/>
        </w:rPr>
        <w:t>Z</w:t>
      </w:r>
      <w:r w:rsidR="00DE51C4" w:rsidRPr="007607C7">
        <w:rPr>
          <w:rFonts w:ascii="Arial" w:hAnsi="Arial" w:cs="Arial"/>
          <w:bCs/>
          <w:sz w:val="18"/>
          <w:szCs w:val="18"/>
          <w:lang w:eastAsia="en-US"/>
        </w:rPr>
        <w:t xml:space="preserve">dravotní </w:t>
      </w:r>
      <w:r w:rsidRPr="007607C7">
        <w:rPr>
          <w:rFonts w:ascii="Arial" w:hAnsi="Arial" w:cs="Arial"/>
          <w:bCs/>
          <w:sz w:val="18"/>
          <w:szCs w:val="18"/>
          <w:lang w:eastAsia="en-US"/>
        </w:rPr>
        <w:t>pojišťovny Poskytovateli za poskytnuté hrazené služby nebo rozsah poskytovaných hrazených služeb,</w:t>
      </w:r>
      <w:r w:rsidRPr="007607C7" w:rsidDel="00ED3CFD">
        <w:rPr>
          <w:rFonts w:ascii="Arial" w:hAnsi="Arial" w:cs="Arial"/>
          <w:bCs/>
          <w:sz w:val="18"/>
          <w:szCs w:val="18"/>
          <w:lang w:eastAsia="en-US"/>
        </w:rPr>
        <w:t xml:space="preserve"> </w:t>
      </w:r>
      <w:r w:rsidRPr="007607C7">
        <w:rPr>
          <w:rFonts w:ascii="Arial" w:hAnsi="Arial" w:cs="Arial"/>
          <w:bCs/>
          <w:sz w:val="18"/>
          <w:szCs w:val="18"/>
          <w:lang w:eastAsia="en-US"/>
        </w:rPr>
        <w:t xml:space="preserve">bude zveřejněna na základě zákonem uložené povinnosti Zdravotní pojišťovny. </w:t>
      </w:r>
    </w:p>
    <w:p w14:paraId="65184D1C" w14:textId="77777777" w:rsidR="00A95676" w:rsidRPr="007607C7" w:rsidRDefault="00A95676" w:rsidP="00A95676">
      <w:pPr>
        <w:pStyle w:val="Zkladntext"/>
        <w:numPr>
          <w:ilvl w:val="0"/>
          <w:numId w:val="4"/>
        </w:numPr>
        <w:ind w:hanging="420"/>
        <w:rPr>
          <w:rFonts w:ascii="Arial" w:hAnsi="Arial" w:cs="Arial"/>
          <w:sz w:val="18"/>
          <w:szCs w:val="18"/>
          <w:lang w:eastAsia="en-US"/>
        </w:rPr>
      </w:pPr>
      <w:r w:rsidRPr="007607C7">
        <w:rPr>
          <w:rFonts w:ascii="Arial" w:hAnsi="Arial" w:cs="Arial"/>
          <w:color w:val="auto"/>
          <w:sz w:val="18"/>
          <w:szCs w:val="18"/>
        </w:rPr>
        <w:t xml:space="preserve">Smluvní strany se dohodly, že v případě aktivované datové schránky může být doručování prostřednictvím datové schránky použito k závazným </w:t>
      </w:r>
      <w:r w:rsidRPr="007607C7">
        <w:rPr>
          <w:rFonts w:ascii="Arial" w:hAnsi="Arial" w:cs="Arial"/>
          <w:sz w:val="18"/>
          <w:szCs w:val="18"/>
        </w:rPr>
        <w:t>smluvním jednáním.</w:t>
      </w:r>
    </w:p>
    <w:p w14:paraId="65184D1D" w14:textId="77777777" w:rsidR="00A95676" w:rsidRPr="007607C7" w:rsidRDefault="00A95676" w:rsidP="00A95676">
      <w:pPr>
        <w:pStyle w:val="Zkladntext"/>
        <w:numPr>
          <w:ilvl w:val="0"/>
          <w:numId w:val="4"/>
        </w:numPr>
        <w:ind w:hanging="420"/>
        <w:rPr>
          <w:rFonts w:ascii="Arial" w:hAnsi="Arial" w:cs="Arial"/>
          <w:b/>
          <w:bCs/>
          <w:sz w:val="18"/>
          <w:szCs w:val="18"/>
        </w:rPr>
      </w:pPr>
      <w:r w:rsidRPr="007607C7">
        <w:rPr>
          <w:rFonts w:ascii="Arial" w:hAnsi="Arial" w:cs="Arial"/>
          <w:sz w:val="18"/>
          <w:szCs w:val="18"/>
        </w:rPr>
        <w:t>Smluvní strany se dohodly, že písemnosti doručované v souvislosti s plněním Smlouvy se považují za doručené nejpozději desátým dnem po jejich uložení na poště, respektive po doručení do datové schránky v případě doručování písemností datovou schránkou.</w:t>
      </w:r>
    </w:p>
    <w:p w14:paraId="65184D1E" w14:textId="013EF8AE" w:rsidR="00A95676" w:rsidRPr="007607C7" w:rsidRDefault="00A95676" w:rsidP="00A95676">
      <w:pPr>
        <w:pStyle w:val="Zkladntext"/>
        <w:numPr>
          <w:ilvl w:val="0"/>
          <w:numId w:val="4"/>
        </w:numPr>
        <w:ind w:hanging="420"/>
        <w:rPr>
          <w:rFonts w:ascii="Arial" w:hAnsi="Arial" w:cs="Arial"/>
          <w:sz w:val="18"/>
          <w:szCs w:val="18"/>
        </w:rPr>
      </w:pPr>
      <w:r w:rsidRPr="007607C7">
        <w:rPr>
          <w:rFonts w:ascii="Arial" w:hAnsi="Arial" w:cs="Arial"/>
          <w:sz w:val="18"/>
          <w:szCs w:val="18"/>
        </w:rPr>
        <w:t xml:space="preserve">Případné nesrovnalosti vyplývající ze smluvního vztahu budou řešeny vzájemným jednáním. </w:t>
      </w:r>
    </w:p>
    <w:p w14:paraId="65184D1F" w14:textId="71C16C20" w:rsidR="00A95676" w:rsidRPr="007607C7" w:rsidRDefault="00A95676" w:rsidP="00A95676">
      <w:pPr>
        <w:pStyle w:val="Zkladntext"/>
        <w:numPr>
          <w:ilvl w:val="0"/>
          <w:numId w:val="4"/>
        </w:numPr>
        <w:ind w:left="426" w:hanging="426"/>
        <w:rPr>
          <w:rFonts w:ascii="Arial" w:hAnsi="Arial" w:cs="Arial"/>
          <w:b/>
          <w:sz w:val="18"/>
          <w:szCs w:val="18"/>
        </w:rPr>
      </w:pPr>
      <w:r w:rsidRPr="007607C7">
        <w:rPr>
          <w:rFonts w:ascii="Arial" w:hAnsi="Arial" w:cs="Arial"/>
          <w:sz w:val="18"/>
          <w:szCs w:val="18"/>
        </w:rPr>
        <w:t>Smluvní strany stvrzují, že Dodatek byl uzavřen podle jejich svobodné vůle a že s jeho obsahem souhlasí</w:t>
      </w:r>
      <w:r w:rsidR="00F27E32">
        <w:rPr>
          <w:rFonts w:ascii="Arial" w:hAnsi="Arial" w:cs="Arial"/>
          <w:sz w:val="18"/>
          <w:szCs w:val="18"/>
        </w:rPr>
        <w:t>, když jednotlivá ustanovení Dodatku jsou výsledkem vzájemné dohody smluvních stran.</w:t>
      </w:r>
    </w:p>
    <w:p w14:paraId="65184D20" w14:textId="07E5CF87" w:rsidR="00A95676" w:rsidRPr="007607C7" w:rsidRDefault="00A95676" w:rsidP="00A95676">
      <w:pPr>
        <w:pStyle w:val="Zkladntext"/>
        <w:numPr>
          <w:ilvl w:val="0"/>
          <w:numId w:val="4"/>
        </w:numPr>
        <w:ind w:hanging="420"/>
        <w:rPr>
          <w:rFonts w:ascii="Arial" w:hAnsi="Arial" w:cs="Arial"/>
          <w:b/>
          <w:sz w:val="18"/>
          <w:szCs w:val="18"/>
        </w:rPr>
      </w:pPr>
      <w:r w:rsidRPr="007607C7">
        <w:rPr>
          <w:rFonts w:ascii="Arial" w:hAnsi="Arial" w:cs="Arial"/>
          <w:sz w:val="18"/>
          <w:szCs w:val="18"/>
        </w:rPr>
        <w:t>Za Zdravotní pojišťovnu jsou k podpisu tohoto Dodatku oprávněny osoby, které zmocnil k podpisu statutární zástupce.</w:t>
      </w:r>
    </w:p>
    <w:p w14:paraId="65184D21" w14:textId="37F8BFC8" w:rsidR="005779B8" w:rsidRPr="007607C7" w:rsidRDefault="00A95676" w:rsidP="00A95676">
      <w:pPr>
        <w:pStyle w:val="Zkladntext"/>
        <w:numPr>
          <w:ilvl w:val="0"/>
          <w:numId w:val="4"/>
        </w:numPr>
        <w:ind w:hanging="420"/>
        <w:rPr>
          <w:rFonts w:ascii="Arial" w:hAnsi="Arial" w:cs="Arial"/>
          <w:b/>
          <w:sz w:val="18"/>
          <w:szCs w:val="18"/>
        </w:rPr>
      </w:pPr>
      <w:r w:rsidRPr="007607C7">
        <w:rPr>
          <w:rFonts w:ascii="Arial" w:hAnsi="Arial" w:cs="Arial"/>
          <w:sz w:val="18"/>
          <w:szCs w:val="18"/>
        </w:rPr>
        <w:t xml:space="preserve">Dodatek je vyhotoven ve dvou stejnopisech, z nichž každá ze smluvních stran </w:t>
      </w:r>
      <w:proofErr w:type="gramStart"/>
      <w:r w:rsidRPr="007607C7">
        <w:rPr>
          <w:rFonts w:ascii="Arial" w:hAnsi="Arial" w:cs="Arial"/>
          <w:sz w:val="18"/>
          <w:szCs w:val="18"/>
        </w:rPr>
        <w:t>obdrží</w:t>
      </w:r>
      <w:proofErr w:type="gramEnd"/>
      <w:r w:rsidRPr="007607C7">
        <w:rPr>
          <w:rFonts w:ascii="Arial" w:hAnsi="Arial" w:cs="Arial"/>
          <w:sz w:val="18"/>
          <w:szCs w:val="18"/>
        </w:rPr>
        <w:t xml:space="preserve"> po jednom vyhotovení v případě, že nebude Dodatek uzavřen cestou datových schránek způsobem uvedeným v článku III. odst. </w:t>
      </w:r>
      <w:r>
        <w:rPr>
          <w:rFonts w:ascii="Arial" w:hAnsi="Arial" w:cs="Arial"/>
          <w:sz w:val="18"/>
          <w:szCs w:val="18"/>
        </w:rPr>
        <w:t>7</w:t>
      </w:r>
      <w:r w:rsidRPr="007607C7">
        <w:rPr>
          <w:rFonts w:ascii="Arial" w:hAnsi="Arial" w:cs="Arial"/>
          <w:sz w:val="18"/>
          <w:szCs w:val="18"/>
        </w:rPr>
        <w:t xml:space="preserve"> tohoto Dodatku.</w:t>
      </w:r>
    </w:p>
    <w:p w14:paraId="65184D22" w14:textId="77777777" w:rsidR="005779B8" w:rsidRPr="007607C7" w:rsidRDefault="005779B8" w:rsidP="005779B8">
      <w:pPr>
        <w:pStyle w:val="Zkladntext"/>
        <w:spacing w:after="120"/>
        <w:rPr>
          <w:rFonts w:ascii="Arial" w:hAnsi="Arial" w:cs="Arial"/>
          <w:b/>
          <w:sz w:val="18"/>
          <w:szCs w:val="18"/>
        </w:rPr>
      </w:pPr>
    </w:p>
    <w:p w14:paraId="65184D23" w14:textId="77777777" w:rsidR="004C1152" w:rsidRPr="007607C7" w:rsidRDefault="004C1152" w:rsidP="00540967">
      <w:pPr>
        <w:pStyle w:val="Zkladntext"/>
        <w:spacing w:after="120"/>
        <w:rPr>
          <w:rFonts w:ascii="Arial" w:hAnsi="Arial" w:cs="Arial"/>
          <w:b/>
          <w:sz w:val="18"/>
          <w:szCs w:val="18"/>
        </w:rPr>
      </w:pPr>
    </w:p>
    <w:tbl>
      <w:tblPr>
        <w:tblW w:w="10899" w:type="dxa"/>
        <w:tblLayout w:type="fixed"/>
        <w:tblCellMar>
          <w:left w:w="70" w:type="dxa"/>
          <w:right w:w="70" w:type="dxa"/>
        </w:tblCellMar>
        <w:tblLook w:val="0000" w:firstRow="0" w:lastRow="0" w:firstColumn="0" w:lastColumn="0" w:noHBand="0" w:noVBand="0"/>
      </w:tblPr>
      <w:tblGrid>
        <w:gridCol w:w="212"/>
        <w:gridCol w:w="2693"/>
        <w:gridCol w:w="567"/>
        <w:gridCol w:w="1199"/>
        <w:gridCol w:w="1557"/>
        <w:gridCol w:w="363"/>
        <w:gridCol w:w="2551"/>
        <w:gridCol w:w="567"/>
        <w:gridCol w:w="1190"/>
      </w:tblGrid>
      <w:tr w:rsidR="004C1152" w:rsidRPr="007607C7" w14:paraId="65184D2D" w14:textId="77777777" w:rsidTr="000F6DBA">
        <w:tc>
          <w:tcPr>
            <w:tcW w:w="212" w:type="dxa"/>
          </w:tcPr>
          <w:p w14:paraId="65184D24" w14:textId="77777777" w:rsidR="004C1152" w:rsidRPr="007607C7" w:rsidRDefault="004C1152">
            <w:pPr>
              <w:jc w:val="both"/>
              <w:rPr>
                <w:rFonts w:ascii="Arial" w:hAnsi="Arial" w:cs="Arial"/>
                <w:sz w:val="18"/>
                <w:szCs w:val="18"/>
              </w:rPr>
            </w:pPr>
            <w:r w:rsidRPr="007607C7">
              <w:rPr>
                <w:rFonts w:ascii="Arial" w:hAnsi="Arial" w:cs="Arial"/>
                <w:sz w:val="18"/>
                <w:szCs w:val="18"/>
              </w:rPr>
              <w:t>V</w:t>
            </w:r>
          </w:p>
        </w:tc>
        <w:tc>
          <w:tcPr>
            <w:tcW w:w="2693" w:type="dxa"/>
          </w:tcPr>
          <w:p w14:paraId="6508E1BE" w14:textId="0581FC8F" w:rsidR="008E64E1" w:rsidRPr="00A27951" w:rsidRDefault="008E64E1" w:rsidP="008E64E1">
            <w:pPr>
              <w:pStyle w:val="TableContents"/>
              <w:rPr>
                <w:rFonts w:ascii="Arial" w:hAnsi="Arial"/>
                <w:sz w:val="18"/>
                <w:szCs w:val="18"/>
              </w:rPr>
            </w:pPr>
            <w:r w:rsidRPr="00A27951">
              <w:rPr>
                <w:rFonts w:ascii="Arial" w:hAnsi="Arial"/>
                <w:sz w:val="18"/>
                <w:szCs w:val="18"/>
              </w:rPr>
              <w:t>Ostravě</w:t>
            </w:r>
          </w:p>
          <w:p w14:paraId="65184D25" w14:textId="549E0A9D" w:rsidR="004C1152" w:rsidRPr="007607C7" w:rsidRDefault="008E64E1" w:rsidP="008E64E1">
            <w:pPr>
              <w:jc w:val="both"/>
              <w:rPr>
                <w:rFonts w:ascii="Arial" w:hAnsi="Arial" w:cs="Arial"/>
                <w:sz w:val="18"/>
                <w:szCs w:val="18"/>
              </w:rPr>
            </w:pPr>
            <w:r w:rsidRPr="00A27951">
              <w:rPr>
                <w:rFonts w:ascii="Arial" w:hAnsi="Arial"/>
                <w:sz w:val="18"/>
                <w:szCs w:val="18"/>
              </w:rPr>
              <w:t xml:space="preserve">   </w:t>
            </w:r>
          </w:p>
        </w:tc>
        <w:tc>
          <w:tcPr>
            <w:tcW w:w="567" w:type="dxa"/>
          </w:tcPr>
          <w:p w14:paraId="65184D26" w14:textId="77777777" w:rsidR="004C1152" w:rsidRPr="007607C7" w:rsidRDefault="004C1152">
            <w:pPr>
              <w:jc w:val="both"/>
              <w:rPr>
                <w:rFonts w:ascii="Arial" w:hAnsi="Arial" w:cs="Arial"/>
                <w:sz w:val="18"/>
                <w:szCs w:val="18"/>
              </w:rPr>
            </w:pPr>
            <w:r w:rsidRPr="007607C7">
              <w:rPr>
                <w:rFonts w:ascii="Arial" w:hAnsi="Arial" w:cs="Arial"/>
                <w:sz w:val="18"/>
                <w:szCs w:val="18"/>
              </w:rPr>
              <w:t>dne</w:t>
            </w:r>
          </w:p>
        </w:tc>
        <w:tc>
          <w:tcPr>
            <w:tcW w:w="1199" w:type="dxa"/>
            <w:tcBorders>
              <w:top w:val="nil"/>
              <w:left w:val="nil"/>
              <w:bottom w:val="single" w:sz="4" w:space="0" w:color="auto"/>
              <w:right w:val="nil"/>
            </w:tcBorders>
          </w:tcPr>
          <w:p w14:paraId="65184D27" w14:textId="77777777" w:rsidR="004C1152" w:rsidRPr="007607C7" w:rsidRDefault="004C1152">
            <w:pPr>
              <w:jc w:val="both"/>
              <w:rPr>
                <w:rFonts w:ascii="Arial" w:hAnsi="Arial" w:cs="Arial"/>
                <w:sz w:val="18"/>
                <w:szCs w:val="18"/>
              </w:rPr>
            </w:pPr>
          </w:p>
        </w:tc>
        <w:tc>
          <w:tcPr>
            <w:tcW w:w="1557" w:type="dxa"/>
          </w:tcPr>
          <w:p w14:paraId="65184D28" w14:textId="77777777" w:rsidR="004C1152" w:rsidRPr="007607C7" w:rsidRDefault="004C1152">
            <w:pPr>
              <w:jc w:val="both"/>
              <w:rPr>
                <w:rFonts w:ascii="Arial" w:hAnsi="Arial" w:cs="Arial"/>
                <w:sz w:val="18"/>
                <w:szCs w:val="18"/>
              </w:rPr>
            </w:pPr>
          </w:p>
        </w:tc>
        <w:tc>
          <w:tcPr>
            <w:tcW w:w="363" w:type="dxa"/>
          </w:tcPr>
          <w:p w14:paraId="65184D29" w14:textId="77777777" w:rsidR="004C1152" w:rsidRPr="007607C7" w:rsidRDefault="004C1152">
            <w:pPr>
              <w:jc w:val="both"/>
              <w:rPr>
                <w:rFonts w:ascii="Arial" w:hAnsi="Arial" w:cs="Arial"/>
                <w:sz w:val="18"/>
                <w:szCs w:val="18"/>
              </w:rPr>
            </w:pPr>
            <w:r w:rsidRPr="007607C7">
              <w:rPr>
                <w:rFonts w:ascii="Arial" w:hAnsi="Arial" w:cs="Arial"/>
                <w:sz w:val="18"/>
                <w:szCs w:val="18"/>
              </w:rPr>
              <w:t>V</w:t>
            </w:r>
          </w:p>
        </w:tc>
        <w:tc>
          <w:tcPr>
            <w:tcW w:w="2551" w:type="dxa"/>
            <w:tcBorders>
              <w:top w:val="nil"/>
              <w:left w:val="nil"/>
              <w:bottom w:val="single" w:sz="4" w:space="0" w:color="auto"/>
              <w:right w:val="nil"/>
            </w:tcBorders>
          </w:tcPr>
          <w:p w14:paraId="65184D2A" w14:textId="77777777" w:rsidR="004C1152" w:rsidRPr="007607C7" w:rsidRDefault="004C1152">
            <w:pPr>
              <w:jc w:val="both"/>
              <w:rPr>
                <w:rFonts w:ascii="Arial" w:hAnsi="Arial" w:cs="Arial"/>
                <w:sz w:val="18"/>
                <w:szCs w:val="18"/>
              </w:rPr>
            </w:pPr>
          </w:p>
        </w:tc>
        <w:tc>
          <w:tcPr>
            <w:tcW w:w="567" w:type="dxa"/>
          </w:tcPr>
          <w:p w14:paraId="65184D2B" w14:textId="77777777" w:rsidR="004C1152" w:rsidRPr="007607C7" w:rsidRDefault="004C1152">
            <w:pPr>
              <w:jc w:val="both"/>
              <w:rPr>
                <w:rFonts w:ascii="Arial" w:hAnsi="Arial" w:cs="Arial"/>
                <w:sz w:val="18"/>
                <w:szCs w:val="18"/>
              </w:rPr>
            </w:pPr>
            <w:r w:rsidRPr="007607C7">
              <w:rPr>
                <w:rFonts w:ascii="Arial" w:hAnsi="Arial" w:cs="Arial"/>
                <w:sz w:val="18"/>
                <w:szCs w:val="18"/>
              </w:rPr>
              <w:t>dne</w:t>
            </w:r>
          </w:p>
        </w:tc>
        <w:tc>
          <w:tcPr>
            <w:tcW w:w="1190" w:type="dxa"/>
            <w:tcBorders>
              <w:top w:val="nil"/>
              <w:left w:val="nil"/>
              <w:bottom w:val="single" w:sz="4" w:space="0" w:color="auto"/>
              <w:right w:val="nil"/>
            </w:tcBorders>
          </w:tcPr>
          <w:p w14:paraId="65184D2C" w14:textId="77777777" w:rsidR="004C1152" w:rsidRPr="007607C7" w:rsidRDefault="004C1152">
            <w:pPr>
              <w:jc w:val="both"/>
              <w:rPr>
                <w:rFonts w:ascii="Arial" w:hAnsi="Arial" w:cs="Arial"/>
                <w:sz w:val="18"/>
                <w:szCs w:val="18"/>
              </w:rPr>
            </w:pPr>
          </w:p>
        </w:tc>
      </w:tr>
      <w:tr w:rsidR="004C1152" w:rsidRPr="007607C7" w14:paraId="65184D38" w14:textId="77777777" w:rsidTr="000F6DBA">
        <w:trPr>
          <w:trHeight w:val="485"/>
        </w:trPr>
        <w:tc>
          <w:tcPr>
            <w:tcW w:w="212" w:type="dxa"/>
            <w:tcBorders>
              <w:bottom w:val="single" w:sz="4" w:space="0" w:color="auto"/>
            </w:tcBorders>
          </w:tcPr>
          <w:p w14:paraId="65184D2E" w14:textId="77777777" w:rsidR="004C1152" w:rsidRPr="007607C7" w:rsidRDefault="004C1152">
            <w:pPr>
              <w:jc w:val="both"/>
              <w:rPr>
                <w:rFonts w:ascii="Arial" w:hAnsi="Arial" w:cs="Arial"/>
                <w:sz w:val="18"/>
                <w:szCs w:val="18"/>
              </w:rPr>
            </w:pPr>
          </w:p>
        </w:tc>
        <w:tc>
          <w:tcPr>
            <w:tcW w:w="2693" w:type="dxa"/>
            <w:tcBorders>
              <w:bottom w:val="single" w:sz="4" w:space="0" w:color="auto"/>
            </w:tcBorders>
          </w:tcPr>
          <w:p w14:paraId="65184D2F" w14:textId="77777777" w:rsidR="004C1152" w:rsidRPr="007607C7" w:rsidRDefault="004C1152">
            <w:pPr>
              <w:jc w:val="both"/>
              <w:rPr>
                <w:rFonts w:ascii="Arial" w:hAnsi="Arial" w:cs="Arial"/>
                <w:sz w:val="18"/>
                <w:szCs w:val="18"/>
              </w:rPr>
            </w:pPr>
          </w:p>
          <w:p w14:paraId="65184D30" w14:textId="77777777" w:rsidR="00F4468E" w:rsidRPr="007607C7" w:rsidRDefault="00F4468E">
            <w:pPr>
              <w:jc w:val="both"/>
              <w:rPr>
                <w:rFonts w:ascii="Arial" w:hAnsi="Arial" w:cs="Arial"/>
                <w:sz w:val="18"/>
                <w:szCs w:val="18"/>
              </w:rPr>
            </w:pPr>
          </w:p>
          <w:p w14:paraId="65184D31" w14:textId="77777777" w:rsidR="00F4468E" w:rsidRPr="007607C7" w:rsidRDefault="00F4468E">
            <w:pPr>
              <w:jc w:val="both"/>
              <w:rPr>
                <w:rFonts w:ascii="Arial" w:hAnsi="Arial" w:cs="Arial"/>
                <w:sz w:val="18"/>
                <w:szCs w:val="18"/>
              </w:rPr>
            </w:pPr>
          </w:p>
          <w:p w14:paraId="65184D32" w14:textId="77777777" w:rsidR="00F4468E" w:rsidRPr="007607C7" w:rsidRDefault="00F4468E">
            <w:pPr>
              <w:jc w:val="both"/>
              <w:rPr>
                <w:rFonts w:ascii="Arial" w:hAnsi="Arial" w:cs="Arial"/>
                <w:sz w:val="18"/>
                <w:szCs w:val="18"/>
              </w:rPr>
            </w:pPr>
          </w:p>
        </w:tc>
        <w:tc>
          <w:tcPr>
            <w:tcW w:w="1766" w:type="dxa"/>
            <w:gridSpan w:val="2"/>
            <w:tcBorders>
              <w:bottom w:val="single" w:sz="4" w:space="0" w:color="auto"/>
            </w:tcBorders>
          </w:tcPr>
          <w:p w14:paraId="65184D33" w14:textId="77777777" w:rsidR="004C1152" w:rsidRPr="007607C7" w:rsidRDefault="004C1152">
            <w:pPr>
              <w:jc w:val="both"/>
              <w:rPr>
                <w:rFonts w:ascii="Arial" w:hAnsi="Arial" w:cs="Arial"/>
                <w:sz w:val="18"/>
                <w:szCs w:val="18"/>
              </w:rPr>
            </w:pPr>
          </w:p>
        </w:tc>
        <w:tc>
          <w:tcPr>
            <w:tcW w:w="1557" w:type="dxa"/>
          </w:tcPr>
          <w:p w14:paraId="65184D34" w14:textId="77777777" w:rsidR="004C1152" w:rsidRPr="007607C7" w:rsidRDefault="004C1152">
            <w:pPr>
              <w:jc w:val="both"/>
              <w:rPr>
                <w:rFonts w:ascii="Arial" w:hAnsi="Arial" w:cs="Arial"/>
                <w:sz w:val="18"/>
                <w:szCs w:val="18"/>
              </w:rPr>
            </w:pPr>
          </w:p>
        </w:tc>
        <w:tc>
          <w:tcPr>
            <w:tcW w:w="363" w:type="dxa"/>
            <w:tcBorders>
              <w:bottom w:val="single" w:sz="4" w:space="0" w:color="auto"/>
            </w:tcBorders>
          </w:tcPr>
          <w:p w14:paraId="65184D35" w14:textId="77777777" w:rsidR="004C1152" w:rsidRPr="007607C7" w:rsidRDefault="004C1152">
            <w:pPr>
              <w:jc w:val="both"/>
              <w:rPr>
                <w:rFonts w:ascii="Arial" w:hAnsi="Arial" w:cs="Arial"/>
                <w:sz w:val="18"/>
                <w:szCs w:val="18"/>
              </w:rPr>
            </w:pPr>
          </w:p>
        </w:tc>
        <w:tc>
          <w:tcPr>
            <w:tcW w:w="2551" w:type="dxa"/>
            <w:tcBorders>
              <w:bottom w:val="single" w:sz="4" w:space="0" w:color="auto"/>
            </w:tcBorders>
          </w:tcPr>
          <w:p w14:paraId="65184D36" w14:textId="77777777" w:rsidR="004C1152" w:rsidRPr="007607C7" w:rsidRDefault="004C1152">
            <w:pPr>
              <w:jc w:val="both"/>
              <w:rPr>
                <w:rFonts w:ascii="Arial" w:hAnsi="Arial" w:cs="Arial"/>
                <w:sz w:val="18"/>
                <w:szCs w:val="18"/>
              </w:rPr>
            </w:pPr>
          </w:p>
        </w:tc>
        <w:tc>
          <w:tcPr>
            <w:tcW w:w="1757" w:type="dxa"/>
            <w:gridSpan w:val="2"/>
            <w:tcBorders>
              <w:bottom w:val="single" w:sz="4" w:space="0" w:color="auto"/>
            </w:tcBorders>
          </w:tcPr>
          <w:p w14:paraId="65184D37" w14:textId="77777777" w:rsidR="004C1152" w:rsidRPr="007607C7" w:rsidRDefault="004C1152">
            <w:pPr>
              <w:jc w:val="both"/>
              <w:rPr>
                <w:rFonts w:ascii="Arial" w:hAnsi="Arial" w:cs="Arial"/>
                <w:sz w:val="18"/>
                <w:szCs w:val="18"/>
              </w:rPr>
            </w:pPr>
          </w:p>
        </w:tc>
      </w:tr>
      <w:tr w:rsidR="004C1152" w:rsidRPr="007607C7" w14:paraId="65184D3C" w14:textId="77777777" w:rsidTr="000F6DBA">
        <w:trPr>
          <w:trHeight w:val="141"/>
        </w:trPr>
        <w:tc>
          <w:tcPr>
            <w:tcW w:w="4671" w:type="dxa"/>
            <w:gridSpan w:val="4"/>
            <w:tcBorders>
              <w:top w:val="single" w:sz="4" w:space="0" w:color="auto"/>
              <w:left w:val="nil"/>
              <w:right w:val="nil"/>
            </w:tcBorders>
          </w:tcPr>
          <w:p w14:paraId="65184D39" w14:textId="77777777" w:rsidR="004C1152" w:rsidRPr="007607C7" w:rsidRDefault="004C1152">
            <w:pPr>
              <w:jc w:val="center"/>
              <w:rPr>
                <w:rFonts w:ascii="Arial" w:hAnsi="Arial" w:cs="Arial"/>
                <w:sz w:val="18"/>
                <w:szCs w:val="18"/>
              </w:rPr>
            </w:pPr>
            <w:r w:rsidRPr="007607C7">
              <w:rPr>
                <w:rFonts w:ascii="Arial" w:hAnsi="Arial" w:cs="Arial"/>
                <w:sz w:val="18"/>
                <w:szCs w:val="18"/>
              </w:rPr>
              <w:t>za Zdravotní pojišťovnu</w:t>
            </w:r>
          </w:p>
        </w:tc>
        <w:tc>
          <w:tcPr>
            <w:tcW w:w="1557" w:type="dxa"/>
          </w:tcPr>
          <w:p w14:paraId="65184D3A" w14:textId="77777777" w:rsidR="004C1152" w:rsidRPr="007607C7" w:rsidRDefault="004C1152">
            <w:pPr>
              <w:jc w:val="center"/>
              <w:rPr>
                <w:rFonts w:ascii="Arial" w:hAnsi="Arial" w:cs="Arial"/>
                <w:sz w:val="18"/>
                <w:szCs w:val="18"/>
              </w:rPr>
            </w:pPr>
          </w:p>
        </w:tc>
        <w:tc>
          <w:tcPr>
            <w:tcW w:w="4671" w:type="dxa"/>
            <w:gridSpan w:val="4"/>
            <w:tcBorders>
              <w:top w:val="single" w:sz="4" w:space="0" w:color="auto"/>
              <w:left w:val="nil"/>
              <w:right w:val="nil"/>
            </w:tcBorders>
          </w:tcPr>
          <w:p w14:paraId="65184D3B" w14:textId="77777777" w:rsidR="004C1152" w:rsidRPr="007607C7" w:rsidRDefault="004C1152" w:rsidP="0028452B">
            <w:pPr>
              <w:jc w:val="center"/>
              <w:rPr>
                <w:rFonts w:ascii="Arial" w:hAnsi="Arial" w:cs="Arial"/>
                <w:sz w:val="18"/>
                <w:szCs w:val="18"/>
              </w:rPr>
            </w:pPr>
            <w:r w:rsidRPr="007607C7">
              <w:rPr>
                <w:rFonts w:ascii="Arial" w:hAnsi="Arial" w:cs="Arial"/>
                <w:sz w:val="18"/>
                <w:szCs w:val="18"/>
              </w:rPr>
              <w:t>za Poskytovatele</w:t>
            </w:r>
          </w:p>
        </w:tc>
      </w:tr>
    </w:tbl>
    <w:p w14:paraId="65184D3D" w14:textId="787B2E1E" w:rsidR="004C1152" w:rsidRPr="007607C7" w:rsidRDefault="004C1152" w:rsidP="00EF2C63">
      <w:pPr>
        <w:jc w:val="both"/>
        <w:rPr>
          <w:rFonts w:ascii="Arial" w:hAnsi="Arial" w:cs="Arial"/>
          <w:sz w:val="18"/>
          <w:szCs w:val="18"/>
        </w:rPr>
      </w:pPr>
    </w:p>
    <w:sectPr w:rsidR="004C1152" w:rsidRPr="007607C7" w:rsidSect="004C1152">
      <w:footerReference w:type="first" r:id="rId12"/>
      <w:pgSz w:w="11906" w:h="16838" w:code="9"/>
      <w:pgMar w:top="567" w:right="567" w:bottom="567"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25FB" w14:textId="77777777" w:rsidR="00DA13E6" w:rsidRDefault="00DA13E6" w:rsidP="00712161">
      <w:pPr>
        <w:pStyle w:val="TextodstavceCharChar"/>
      </w:pPr>
      <w:r>
        <w:separator/>
      </w:r>
    </w:p>
  </w:endnote>
  <w:endnote w:type="continuationSeparator" w:id="0">
    <w:p w14:paraId="710EA1A5" w14:textId="77777777" w:rsidR="00DA13E6" w:rsidRDefault="00DA13E6" w:rsidP="00712161">
      <w:pPr>
        <w:pStyle w:val="TextodstavceCharChar"/>
      </w:pPr>
      <w:r>
        <w:continuationSeparator/>
      </w:r>
    </w:p>
  </w:endnote>
  <w:endnote w:type="continuationNotice" w:id="1">
    <w:p w14:paraId="3DD12566" w14:textId="77777777" w:rsidR="00DA13E6" w:rsidRDefault="00DA1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DDAF N+ 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de-39-25">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4D48" w14:textId="77777777" w:rsidR="00AD6E6A" w:rsidRDefault="00AD6E6A">
    <w:pPr>
      <w:framePr w:w="1377" w:h="289" w:hSpace="141" w:wrap="auto" w:vAnchor="page" w:hAnchor="page" w:x="9942" w:y="16047"/>
      <w:jc w:val="right"/>
    </w:pPr>
    <w:r>
      <w:rPr>
        <w:sz w:val="12"/>
      </w:rPr>
      <w:t>7011-D12Ak-01/</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p w14:paraId="65184D49" w14:textId="77777777" w:rsidR="00AD6E6A" w:rsidRDefault="00AD6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FA39" w14:textId="77777777" w:rsidR="00DA13E6" w:rsidRDefault="00DA13E6" w:rsidP="00712161">
      <w:pPr>
        <w:pStyle w:val="TextodstavceCharChar"/>
      </w:pPr>
      <w:r>
        <w:separator/>
      </w:r>
    </w:p>
  </w:footnote>
  <w:footnote w:type="continuationSeparator" w:id="0">
    <w:p w14:paraId="59604D64" w14:textId="77777777" w:rsidR="00DA13E6" w:rsidRDefault="00DA13E6" w:rsidP="00712161">
      <w:pPr>
        <w:pStyle w:val="TextodstavceCharChar"/>
      </w:pPr>
      <w:r>
        <w:continuationSeparator/>
      </w:r>
    </w:p>
  </w:footnote>
  <w:footnote w:type="continuationNotice" w:id="1">
    <w:p w14:paraId="516EB381" w14:textId="77777777" w:rsidR="00DA13E6" w:rsidRDefault="00DA13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C40C9CE"/>
    <w:lvl w:ilvl="0">
      <w:start w:val="1"/>
      <w:numFmt w:val="decimal"/>
      <w:lvlText w:val="%1."/>
      <w:lvlJc w:val="left"/>
      <w:pPr>
        <w:tabs>
          <w:tab w:val="num" w:pos="283"/>
        </w:tabs>
        <w:ind w:left="283" w:hanging="283"/>
      </w:pPr>
      <w:rPr>
        <w:rFonts w:ascii="Arial" w:hAnsi="Arial" w:cs="Arial" w:hint="default"/>
        <w:b w:val="0"/>
        <w:bCs w:val="0"/>
        <w:sz w:val="18"/>
        <w:szCs w:val="18"/>
      </w:rPr>
    </w:lvl>
    <w:lvl w:ilvl="1">
      <w:start w:val="1"/>
      <w:numFmt w:val="decimal"/>
      <w:lvlText w:val="%1.%2."/>
      <w:lvlJc w:val="left"/>
      <w:pPr>
        <w:tabs>
          <w:tab w:val="num" w:pos="283"/>
        </w:tabs>
        <w:ind w:left="964" w:hanging="681"/>
      </w:pPr>
      <w:rPr>
        <w:rFonts w:ascii="Arial" w:hAnsi="Arial" w:cs="Arial" w:hint="default"/>
        <w:b w:val="0"/>
        <w:bCs w:val="0"/>
        <w:sz w:val="18"/>
        <w:szCs w:val="18"/>
      </w:rPr>
    </w:lvl>
    <w:lvl w:ilvl="2">
      <w:start w:val="1"/>
      <w:numFmt w:val="lowerLetter"/>
      <w:lvlText w:val="%3)"/>
      <w:lvlJc w:val="left"/>
      <w:pPr>
        <w:tabs>
          <w:tab w:val="num" w:pos="1553"/>
        </w:tabs>
        <w:ind w:left="1582" w:hanging="442"/>
      </w:pPr>
      <w:rPr>
        <w:rFonts w:ascii="Arial Narrow" w:hAnsi="Arial Narrow"/>
        <w:b w:val="0"/>
        <w:bCs w:val="0"/>
        <w:sz w:val="14"/>
        <w:szCs w:val="14"/>
      </w:rPr>
    </w:lvl>
    <w:lvl w:ilvl="3">
      <w:start w:val="1"/>
      <w:numFmt w:val="decimal"/>
      <w:lvlText w:val="%4."/>
      <w:lvlJc w:val="left"/>
      <w:pPr>
        <w:tabs>
          <w:tab w:val="num" w:pos="1800"/>
        </w:tabs>
        <w:ind w:left="1800" w:hanging="360"/>
      </w:pPr>
      <w:rPr>
        <w:rFonts w:ascii="Arial Narrow" w:hAnsi="Arial Narrow"/>
        <w:b w:val="0"/>
        <w:bCs w:val="0"/>
        <w:sz w:val="14"/>
        <w:szCs w:val="14"/>
      </w:rPr>
    </w:lvl>
    <w:lvl w:ilvl="4">
      <w:start w:val="1"/>
      <w:numFmt w:val="decimal"/>
      <w:lvlText w:val="%5."/>
      <w:lvlJc w:val="left"/>
      <w:pPr>
        <w:tabs>
          <w:tab w:val="num" w:pos="2160"/>
        </w:tabs>
        <w:ind w:left="2160" w:hanging="360"/>
      </w:pPr>
      <w:rPr>
        <w:rFonts w:ascii="Arial Narrow" w:hAnsi="Arial Narrow"/>
        <w:b w:val="0"/>
        <w:bCs w:val="0"/>
        <w:sz w:val="14"/>
        <w:szCs w:val="14"/>
      </w:rPr>
    </w:lvl>
    <w:lvl w:ilvl="5">
      <w:start w:val="1"/>
      <w:numFmt w:val="decimal"/>
      <w:lvlText w:val="%6."/>
      <w:lvlJc w:val="left"/>
      <w:pPr>
        <w:tabs>
          <w:tab w:val="num" w:pos="2520"/>
        </w:tabs>
        <w:ind w:left="2520" w:hanging="360"/>
      </w:pPr>
      <w:rPr>
        <w:rFonts w:ascii="Arial Narrow" w:hAnsi="Arial Narrow"/>
        <w:b w:val="0"/>
        <w:bCs w:val="0"/>
        <w:sz w:val="14"/>
        <w:szCs w:val="14"/>
      </w:rPr>
    </w:lvl>
    <w:lvl w:ilvl="6">
      <w:start w:val="1"/>
      <w:numFmt w:val="decimal"/>
      <w:lvlText w:val="%7."/>
      <w:lvlJc w:val="left"/>
      <w:pPr>
        <w:tabs>
          <w:tab w:val="num" w:pos="2880"/>
        </w:tabs>
        <w:ind w:left="2880" w:hanging="360"/>
      </w:pPr>
      <w:rPr>
        <w:rFonts w:ascii="Arial Narrow" w:hAnsi="Arial Narrow"/>
        <w:b w:val="0"/>
        <w:bCs w:val="0"/>
        <w:sz w:val="14"/>
        <w:szCs w:val="14"/>
      </w:rPr>
    </w:lvl>
    <w:lvl w:ilvl="7">
      <w:start w:val="1"/>
      <w:numFmt w:val="decimal"/>
      <w:lvlText w:val="%8."/>
      <w:lvlJc w:val="left"/>
      <w:pPr>
        <w:tabs>
          <w:tab w:val="num" w:pos="3240"/>
        </w:tabs>
        <w:ind w:left="3240" w:hanging="360"/>
      </w:pPr>
      <w:rPr>
        <w:rFonts w:ascii="Arial Narrow" w:hAnsi="Arial Narrow"/>
        <w:b w:val="0"/>
        <w:bCs w:val="0"/>
        <w:sz w:val="14"/>
        <w:szCs w:val="14"/>
      </w:rPr>
    </w:lvl>
    <w:lvl w:ilvl="8">
      <w:start w:val="1"/>
      <w:numFmt w:val="decimal"/>
      <w:lvlText w:val="%9."/>
      <w:lvlJc w:val="left"/>
      <w:pPr>
        <w:tabs>
          <w:tab w:val="num" w:pos="3600"/>
        </w:tabs>
        <w:ind w:left="3600" w:hanging="360"/>
      </w:pPr>
      <w:rPr>
        <w:rFonts w:ascii="Arial Narrow" w:hAnsi="Arial Narrow"/>
        <w:b w:val="0"/>
        <w:bCs w:val="0"/>
        <w:sz w:val="14"/>
        <w:szCs w:val="14"/>
      </w:rPr>
    </w:lvl>
  </w:abstractNum>
  <w:abstractNum w:abstractNumId="1" w15:restartNumberingAfterBreak="0">
    <w:nsid w:val="04DC16CD"/>
    <w:multiLevelType w:val="hybridMultilevel"/>
    <w:tmpl w:val="EF02CC6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55952BD"/>
    <w:multiLevelType w:val="hybridMultilevel"/>
    <w:tmpl w:val="98A8E39E"/>
    <w:lvl w:ilvl="0" w:tplc="ACDAD818">
      <w:start w:val="1"/>
      <w:numFmt w:val="decimal"/>
      <w:lvlText w:val="%1."/>
      <w:lvlJc w:val="left"/>
      <w:pPr>
        <w:tabs>
          <w:tab w:val="num" w:pos="720"/>
        </w:tabs>
        <w:ind w:left="720" w:hanging="360"/>
      </w:pPr>
      <w:rPr>
        <w:rFonts w:cs="Times New Roman" w:hint="default"/>
        <w:b w:val="0"/>
        <w:i w:val="0"/>
        <w:sz w:val="18"/>
        <w:szCs w:val="18"/>
      </w:rPr>
    </w:lvl>
    <w:lvl w:ilvl="1" w:tplc="0405000F">
      <w:start w:val="1"/>
      <w:numFmt w:val="decimal"/>
      <w:lvlText w:val="%2."/>
      <w:lvlJc w:val="left"/>
      <w:pPr>
        <w:tabs>
          <w:tab w:val="num" w:pos="1440"/>
        </w:tabs>
        <w:ind w:left="1440" w:hanging="360"/>
      </w:pPr>
      <w:rPr>
        <w:rFonts w:cs="Times New Roman" w:hint="default"/>
        <w:b w:val="0"/>
        <w:i w:val="0"/>
        <w:sz w:val="16"/>
        <w:szCs w:val="16"/>
      </w:rPr>
    </w:lvl>
    <w:lvl w:ilvl="2" w:tplc="F2788380">
      <w:start w:val="9547"/>
      <w:numFmt w:val="decimalZero"/>
      <w:lvlText w:val="%3"/>
      <w:lvlJc w:val="left"/>
      <w:pPr>
        <w:tabs>
          <w:tab w:val="num" w:pos="2610"/>
        </w:tabs>
        <w:ind w:left="2610" w:hanging="63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6745314"/>
    <w:multiLevelType w:val="multilevel"/>
    <w:tmpl w:val="DE4EE59C"/>
    <w:lvl w:ilvl="0">
      <w:start w:val="1"/>
      <w:numFmt w:val="decimal"/>
      <w:lvlText w:val="%1."/>
      <w:lvlJc w:val="left"/>
      <w:rPr>
        <w:b w:val="0"/>
        <w:bCs w:val="0"/>
        <w:sz w:val="17"/>
        <w:szCs w:val="17"/>
      </w:rPr>
    </w:lvl>
    <w:lvl w:ilvl="1">
      <w:start w:val="1"/>
      <w:numFmt w:val="decimal"/>
      <w:lvlText w:val="%1.%2."/>
      <w:lvlJc w:val="left"/>
      <w:rPr>
        <w:rFonts w:ascii="Arial" w:hAnsi="Arial"/>
        <w:b w:val="0"/>
        <w:bCs w:val="0"/>
        <w:sz w:val="17"/>
        <w:szCs w:val="17"/>
      </w:rPr>
    </w:lvl>
    <w:lvl w:ilvl="2">
      <w:start w:val="1"/>
      <w:numFmt w:val="lowerLetter"/>
      <w:lvlText w:val=" %3)"/>
      <w:lvlJc w:val="left"/>
      <w:rPr>
        <w:rFonts w:ascii="Arial" w:hAnsi="Arial"/>
        <w:b w:val="0"/>
        <w:bCs w:val="0"/>
        <w:sz w:val="17"/>
        <w:szCs w:val="17"/>
      </w:rPr>
    </w:lvl>
    <w:lvl w:ilvl="3">
      <w:numFmt w:val="bullet"/>
      <w:lvlText w:val="•"/>
      <w:lvlJc w:val="left"/>
      <w:rPr>
        <w:rFonts w:ascii="StarSymbol" w:eastAsia="OpenSymbol" w:hAnsi="StarSymbol" w:cs="OpenSymbol"/>
        <w:sz w:val="18"/>
        <w:szCs w:val="18"/>
      </w:rPr>
    </w:lvl>
    <w:lvl w:ilvl="4">
      <w:numFmt w:val="bullet"/>
      <w:lvlText w:val="•"/>
      <w:lvlJc w:val="left"/>
      <w:rPr>
        <w:rFonts w:ascii="StarSymbol" w:eastAsia="OpenSymbol" w:hAnsi="StarSymbol" w:cs="OpenSymbol"/>
        <w:sz w:val="18"/>
        <w:szCs w:val="18"/>
      </w:rPr>
    </w:lvl>
    <w:lvl w:ilvl="5">
      <w:numFmt w:val="bullet"/>
      <w:lvlText w:val="•"/>
      <w:lvlJc w:val="left"/>
      <w:rPr>
        <w:rFonts w:ascii="StarSymbol" w:eastAsia="OpenSymbol" w:hAnsi="StarSymbol" w:cs="OpenSymbol"/>
        <w:sz w:val="18"/>
        <w:szCs w:val="18"/>
      </w:rPr>
    </w:lvl>
    <w:lvl w:ilvl="6">
      <w:numFmt w:val="bullet"/>
      <w:lvlText w:val="•"/>
      <w:lvlJc w:val="left"/>
      <w:rPr>
        <w:rFonts w:ascii="StarSymbol" w:eastAsia="OpenSymbol" w:hAnsi="StarSymbol" w:cs="OpenSymbol"/>
        <w:sz w:val="18"/>
        <w:szCs w:val="18"/>
      </w:rPr>
    </w:lvl>
    <w:lvl w:ilvl="7">
      <w:numFmt w:val="bullet"/>
      <w:lvlText w:val="•"/>
      <w:lvlJc w:val="left"/>
      <w:rPr>
        <w:rFonts w:ascii="StarSymbol" w:eastAsia="OpenSymbol" w:hAnsi="StarSymbol" w:cs="OpenSymbol"/>
        <w:sz w:val="18"/>
        <w:szCs w:val="18"/>
      </w:rPr>
    </w:lvl>
    <w:lvl w:ilvl="8">
      <w:numFmt w:val="bullet"/>
      <w:lvlText w:val="•"/>
      <w:lvlJc w:val="left"/>
      <w:rPr>
        <w:rFonts w:ascii="StarSymbol" w:eastAsia="OpenSymbol" w:hAnsi="StarSymbol" w:cs="OpenSymbol"/>
        <w:sz w:val="18"/>
        <w:szCs w:val="18"/>
      </w:rPr>
    </w:lvl>
  </w:abstractNum>
  <w:abstractNum w:abstractNumId="4" w15:restartNumberingAfterBreak="0">
    <w:nsid w:val="0A9F3995"/>
    <w:multiLevelType w:val="multilevel"/>
    <w:tmpl w:val="2440FC16"/>
    <w:lvl w:ilvl="0">
      <w:start w:val="2"/>
      <w:numFmt w:val="decimal"/>
      <w:lvlText w:val="%1."/>
      <w:lvlJc w:val="left"/>
      <w:pPr>
        <w:tabs>
          <w:tab w:val="num" w:pos="360"/>
        </w:tabs>
        <w:ind w:left="360" w:hanging="360"/>
      </w:pPr>
      <w:rPr>
        <w:rFonts w:hint="default"/>
        <w:b w:val="0"/>
        <w:i w:val="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12C74F4"/>
    <w:multiLevelType w:val="multilevel"/>
    <w:tmpl w:val="B9FCA062"/>
    <w:lvl w:ilvl="0">
      <w:start w:val="6"/>
      <w:numFmt w:val="decimal"/>
      <w:lvlText w:val="%1."/>
      <w:lvlJc w:val="left"/>
      <w:pPr>
        <w:ind w:left="0" w:firstLine="0"/>
      </w:pPr>
      <w:rPr>
        <w:rFonts w:hint="default"/>
        <w:b w:val="0"/>
        <w:bCs w:val="0"/>
        <w:sz w:val="18"/>
        <w:szCs w:val="18"/>
      </w:rPr>
    </w:lvl>
    <w:lvl w:ilvl="1">
      <w:start w:val="1"/>
      <w:numFmt w:val="decimal"/>
      <w:lvlText w:val="%1.%2."/>
      <w:lvlJc w:val="left"/>
      <w:pPr>
        <w:ind w:left="0" w:firstLine="0"/>
      </w:pPr>
      <w:rPr>
        <w:rFonts w:ascii="Arial" w:hAnsi="Arial" w:hint="default"/>
        <w:b w:val="0"/>
        <w:bCs w:val="0"/>
        <w:sz w:val="17"/>
        <w:szCs w:val="17"/>
      </w:rPr>
    </w:lvl>
    <w:lvl w:ilvl="2">
      <w:start w:val="1"/>
      <w:numFmt w:val="lowerLetter"/>
      <w:lvlText w:val=" %3)"/>
      <w:lvlJc w:val="left"/>
      <w:pPr>
        <w:ind w:left="0" w:firstLine="0"/>
      </w:pPr>
      <w:rPr>
        <w:rFonts w:ascii="Arial" w:hAnsi="Arial" w:hint="default"/>
        <w:b w:val="0"/>
        <w:bCs w:val="0"/>
        <w:sz w:val="17"/>
        <w:szCs w:val="17"/>
      </w:rPr>
    </w:lvl>
    <w:lvl w:ilvl="3">
      <w:numFmt w:val="bullet"/>
      <w:lvlText w:val="•"/>
      <w:lvlJc w:val="left"/>
      <w:pPr>
        <w:ind w:left="0" w:firstLine="0"/>
      </w:pPr>
      <w:rPr>
        <w:rFonts w:ascii="StarSymbol" w:eastAsia="OpenSymbol" w:hAnsi="StarSymbol" w:cs="OpenSymbol" w:hint="default"/>
        <w:sz w:val="18"/>
        <w:szCs w:val="18"/>
      </w:rPr>
    </w:lvl>
    <w:lvl w:ilvl="4">
      <w:numFmt w:val="bullet"/>
      <w:lvlText w:val="•"/>
      <w:lvlJc w:val="left"/>
      <w:pPr>
        <w:ind w:left="0" w:firstLine="0"/>
      </w:pPr>
      <w:rPr>
        <w:rFonts w:ascii="StarSymbol" w:eastAsia="OpenSymbol" w:hAnsi="StarSymbol" w:cs="OpenSymbol" w:hint="default"/>
        <w:sz w:val="18"/>
        <w:szCs w:val="18"/>
      </w:rPr>
    </w:lvl>
    <w:lvl w:ilvl="5">
      <w:numFmt w:val="bullet"/>
      <w:lvlText w:val="•"/>
      <w:lvlJc w:val="left"/>
      <w:pPr>
        <w:ind w:left="0" w:firstLine="0"/>
      </w:pPr>
      <w:rPr>
        <w:rFonts w:ascii="StarSymbol" w:eastAsia="OpenSymbol" w:hAnsi="StarSymbol" w:cs="OpenSymbol" w:hint="default"/>
        <w:sz w:val="18"/>
        <w:szCs w:val="18"/>
      </w:rPr>
    </w:lvl>
    <w:lvl w:ilvl="6">
      <w:numFmt w:val="bullet"/>
      <w:lvlText w:val="•"/>
      <w:lvlJc w:val="left"/>
      <w:pPr>
        <w:ind w:left="0" w:firstLine="0"/>
      </w:pPr>
      <w:rPr>
        <w:rFonts w:ascii="StarSymbol" w:eastAsia="OpenSymbol" w:hAnsi="StarSymbol" w:cs="OpenSymbol" w:hint="default"/>
        <w:sz w:val="18"/>
        <w:szCs w:val="18"/>
      </w:rPr>
    </w:lvl>
    <w:lvl w:ilvl="7">
      <w:numFmt w:val="bullet"/>
      <w:lvlText w:val="•"/>
      <w:lvlJc w:val="left"/>
      <w:pPr>
        <w:ind w:left="0" w:firstLine="0"/>
      </w:pPr>
      <w:rPr>
        <w:rFonts w:ascii="StarSymbol" w:eastAsia="OpenSymbol" w:hAnsi="StarSymbol" w:cs="OpenSymbol" w:hint="default"/>
        <w:sz w:val="18"/>
        <w:szCs w:val="18"/>
      </w:rPr>
    </w:lvl>
    <w:lvl w:ilvl="8">
      <w:numFmt w:val="bullet"/>
      <w:lvlText w:val="•"/>
      <w:lvlJc w:val="left"/>
      <w:pPr>
        <w:ind w:left="0" w:firstLine="0"/>
      </w:pPr>
      <w:rPr>
        <w:rFonts w:ascii="StarSymbol" w:eastAsia="OpenSymbol" w:hAnsi="StarSymbol" w:cs="OpenSymbol" w:hint="default"/>
        <w:sz w:val="18"/>
        <w:szCs w:val="18"/>
      </w:rPr>
    </w:lvl>
  </w:abstractNum>
  <w:abstractNum w:abstractNumId="6" w15:restartNumberingAfterBreak="0">
    <w:nsid w:val="12E93842"/>
    <w:multiLevelType w:val="multilevel"/>
    <w:tmpl w:val="9176C64E"/>
    <w:lvl w:ilvl="0">
      <w:start w:val="6"/>
      <w:numFmt w:val="decimal"/>
      <w:lvlText w:val="%1."/>
      <w:lvlJc w:val="left"/>
      <w:pPr>
        <w:ind w:left="0" w:firstLine="0"/>
      </w:pPr>
      <w:rPr>
        <w:rFonts w:hint="default"/>
        <w:b w:val="0"/>
        <w:bCs w:val="0"/>
        <w:sz w:val="18"/>
        <w:szCs w:val="18"/>
      </w:rPr>
    </w:lvl>
    <w:lvl w:ilvl="1">
      <w:start w:val="1"/>
      <w:numFmt w:val="decimal"/>
      <w:lvlText w:val="%1.%2."/>
      <w:lvlJc w:val="left"/>
      <w:pPr>
        <w:ind w:left="0" w:firstLine="0"/>
      </w:pPr>
      <w:rPr>
        <w:rFonts w:ascii="Arial" w:hAnsi="Arial" w:hint="default"/>
        <w:b w:val="0"/>
        <w:bCs w:val="0"/>
        <w:sz w:val="17"/>
        <w:szCs w:val="17"/>
      </w:rPr>
    </w:lvl>
    <w:lvl w:ilvl="2">
      <w:start w:val="1"/>
      <w:numFmt w:val="lowerLetter"/>
      <w:lvlText w:val=" %3)"/>
      <w:lvlJc w:val="left"/>
      <w:pPr>
        <w:ind w:left="0" w:firstLine="0"/>
      </w:pPr>
      <w:rPr>
        <w:rFonts w:ascii="Arial" w:hAnsi="Arial" w:hint="default"/>
        <w:b w:val="0"/>
        <w:bCs w:val="0"/>
        <w:sz w:val="17"/>
        <w:szCs w:val="17"/>
      </w:rPr>
    </w:lvl>
    <w:lvl w:ilvl="3">
      <w:numFmt w:val="bullet"/>
      <w:lvlText w:val="•"/>
      <w:lvlJc w:val="left"/>
      <w:pPr>
        <w:ind w:left="0" w:firstLine="0"/>
      </w:pPr>
      <w:rPr>
        <w:rFonts w:ascii="StarSymbol" w:eastAsia="OpenSymbol" w:hAnsi="StarSymbol" w:cs="OpenSymbol" w:hint="default"/>
        <w:sz w:val="18"/>
        <w:szCs w:val="18"/>
      </w:rPr>
    </w:lvl>
    <w:lvl w:ilvl="4">
      <w:numFmt w:val="bullet"/>
      <w:lvlText w:val="•"/>
      <w:lvlJc w:val="left"/>
      <w:pPr>
        <w:ind w:left="0" w:firstLine="0"/>
      </w:pPr>
      <w:rPr>
        <w:rFonts w:ascii="StarSymbol" w:eastAsia="OpenSymbol" w:hAnsi="StarSymbol" w:cs="OpenSymbol" w:hint="default"/>
        <w:sz w:val="18"/>
        <w:szCs w:val="18"/>
      </w:rPr>
    </w:lvl>
    <w:lvl w:ilvl="5">
      <w:numFmt w:val="bullet"/>
      <w:lvlText w:val="•"/>
      <w:lvlJc w:val="left"/>
      <w:pPr>
        <w:ind w:left="0" w:firstLine="0"/>
      </w:pPr>
      <w:rPr>
        <w:rFonts w:ascii="StarSymbol" w:eastAsia="OpenSymbol" w:hAnsi="StarSymbol" w:cs="OpenSymbol" w:hint="default"/>
        <w:sz w:val="18"/>
        <w:szCs w:val="18"/>
      </w:rPr>
    </w:lvl>
    <w:lvl w:ilvl="6">
      <w:numFmt w:val="bullet"/>
      <w:lvlText w:val="•"/>
      <w:lvlJc w:val="left"/>
      <w:pPr>
        <w:ind w:left="0" w:firstLine="0"/>
      </w:pPr>
      <w:rPr>
        <w:rFonts w:ascii="StarSymbol" w:eastAsia="OpenSymbol" w:hAnsi="StarSymbol" w:cs="OpenSymbol" w:hint="default"/>
        <w:sz w:val="18"/>
        <w:szCs w:val="18"/>
      </w:rPr>
    </w:lvl>
    <w:lvl w:ilvl="7">
      <w:numFmt w:val="bullet"/>
      <w:lvlText w:val="•"/>
      <w:lvlJc w:val="left"/>
      <w:pPr>
        <w:ind w:left="0" w:firstLine="0"/>
      </w:pPr>
      <w:rPr>
        <w:rFonts w:ascii="StarSymbol" w:eastAsia="OpenSymbol" w:hAnsi="StarSymbol" w:cs="OpenSymbol" w:hint="default"/>
        <w:sz w:val="18"/>
        <w:szCs w:val="18"/>
      </w:rPr>
    </w:lvl>
    <w:lvl w:ilvl="8">
      <w:numFmt w:val="bullet"/>
      <w:lvlText w:val="•"/>
      <w:lvlJc w:val="left"/>
      <w:pPr>
        <w:ind w:left="0" w:firstLine="0"/>
      </w:pPr>
      <w:rPr>
        <w:rFonts w:ascii="StarSymbol" w:eastAsia="OpenSymbol" w:hAnsi="StarSymbol" w:cs="OpenSymbol" w:hint="default"/>
        <w:sz w:val="18"/>
        <w:szCs w:val="18"/>
      </w:rPr>
    </w:lvl>
  </w:abstractNum>
  <w:abstractNum w:abstractNumId="7" w15:restartNumberingAfterBreak="0">
    <w:nsid w:val="30E57664"/>
    <w:multiLevelType w:val="hybridMultilevel"/>
    <w:tmpl w:val="6F78CBAC"/>
    <w:lvl w:ilvl="0" w:tplc="885EED3A">
      <w:start w:val="2"/>
      <w:numFmt w:val="bullet"/>
      <w:lvlText w:val="-"/>
      <w:lvlJc w:val="left"/>
      <w:pPr>
        <w:ind w:left="1068" w:hanging="360"/>
      </w:pPr>
      <w:rPr>
        <w:rFonts w:ascii="Arial" w:eastAsia="Lucida Sans Unicode"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33FC793B"/>
    <w:multiLevelType w:val="hybridMultilevel"/>
    <w:tmpl w:val="547A5802"/>
    <w:lvl w:ilvl="0" w:tplc="3DAEC7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DD62AC"/>
    <w:multiLevelType w:val="hybridMultilevel"/>
    <w:tmpl w:val="B606B2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7A0EE0"/>
    <w:multiLevelType w:val="hybridMultilevel"/>
    <w:tmpl w:val="79C4DD08"/>
    <w:lvl w:ilvl="0" w:tplc="F438912A">
      <w:start w:val="2"/>
      <w:numFmt w:val="bullet"/>
      <w:lvlText w:val="-"/>
      <w:lvlJc w:val="left"/>
      <w:pPr>
        <w:ind w:left="1428" w:hanging="360"/>
      </w:pPr>
      <w:rPr>
        <w:rFonts w:ascii="Arial" w:eastAsia="Lucida Sans Unicode"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608A6BAC"/>
    <w:multiLevelType w:val="hybridMultilevel"/>
    <w:tmpl w:val="EA6E2D0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62150732"/>
    <w:multiLevelType w:val="multilevel"/>
    <w:tmpl w:val="6122B96A"/>
    <w:lvl w:ilvl="0">
      <w:start w:val="1"/>
      <w:numFmt w:val="decimal"/>
      <w:lvlText w:val="%1."/>
      <w:lvlJc w:val="left"/>
      <w:rPr>
        <w:rFonts w:hint="default"/>
        <w:sz w:val="18"/>
        <w:szCs w:val="18"/>
      </w:rPr>
    </w:lvl>
    <w:lvl w:ilvl="1">
      <w:start w:val="1"/>
      <w:numFmt w:val="lowerLetter"/>
      <w:lvlText w:val="%2)"/>
      <w:lvlJc w:val="left"/>
      <w:rPr>
        <w:rFonts w:hint="default"/>
        <w:sz w:val="18"/>
        <w:szCs w:val="18"/>
      </w:rPr>
    </w:lvl>
    <w:lvl w:ilvl="2">
      <w:numFmt w:val="bullet"/>
      <w:lvlText w:val="▪"/>
      <w:lvlJc w:val="left"/>
      <w:rPr>
        <w:rFonts w:ascii="OpenSymbol" w:eastAsia="OpenSymbol" w:hAnsi="OpenSymbol" w:cs="OpenSymbol"/>
        <w:sz w:val="18"/>
        <w:szCs w:val="18"/>
      </w:rPr>
    </w:lvl>
    <w:lvl w:ilvl="3">
      <w:numFmt w:val="bullet"/>
      <w:lvlText w:val="•"/>
      <w:lvlJc w:val="left"/>
      <w:rPr>
        <w:rFonts w:ascii="OpenSymbol" w:eastAsia="OpenSymbol" w:hAnsi="OpenSymbol" w:cs="OpenSymbol"/>
        <w:sz w:val="18"/>
        <w:szCs w:val="18"/>
      </w:rPr>
    </w:lvl>
    <w:lvl w:ilvl="4">
      <w:numFmt w:val="bullet"/>
      <w:lvlText w:val="◦"/>
      <w:lvlJc w:val="left"/>
      <w:rPr>
        <w:rFonts w:ascii="OpenSymbol" w:eastAsia="OpenSymbol" w:hAnsi="OpenSymbol" w:cs="OpenSymbol"/>
        <w:sz w:val="18"/>
        <w:szCs w:val="18"/>
      </w:rPr>
    </w:lvl>
    <w:lvl w:ilvl="5">
      <w:numFmt w:val="bullet"/>
      <w:lvlText w:val="▪"/>
      <w:lvlJc w:val="left"/>
      <w:rPr>
        <w:rFonts w:ascii="OpenSymbol" w:eastAsia="OpenSymbol" w:hAnsi="OpenSymbol" w:cs="OpenSymbol"/>
        <w:sz w:val="18"/>
        <w:szCs w:val="18"/>
      </w:rPr>
    </w:lvl>
    <w:lvl w:ilvl="6">
      <w:numFmt w:val="bullet"/>
      <w:lvlText w:val="•"/>
      <w:lvlJc w:val="left"/>
      <w:rPr>
        <w:rFonts w:ascii="OpenSymbol" w:eastAsia="OpenSymbol" w:hAnsi="OpenSymbol" w:cs="OpenSymbol"/>
        <w:sz w:val="18"/>
        <w:szCs w:val="18"/>
      </w:rPr>
    </w:lvl>
    <w:lvl w:ilvl="7">
      <w:numFmt w:val="bullet"/>
      <w:lvlText w:val="◦"/>
      <w:lvlJc w:val="left"/>
      <w:rPr>
        <w:rFonts w:ascii="OpenSymbol" w:eastAsia="OpenSymbol" w:hAnsi="OpenSymbol" w:cs="OpenSymbol"/>
        <w:sz w:val="18"/>
        <w:szCs w:val="18"/>
      </w:rPr>
    </w:lvl>
    <w:lvl w:ilvl="8">
      <w:numFmt w:val="bullet"/>
      <w:lvlText w:val="▪"/>
      <w:lvlJc w:val="left"/>
      <w:rPr>
        <w:rFonts w:ascii="OpenSymbol" w:eastAsia="OpenSymbol" w:hAnsi="OpenSymbol" w:cs="OpenSymbol"/>
        <w:sz w:val="18"/>
        <w:szCs w:val="18"/>
      </w:rPr>
    </w:lvl>
  </w:abstractNum>
  <w:abstractNum w:abstractNumId="13" w15:restartNumberingAfterBreak="0">
    <w:nsid w:val="68F66C6D"/>
    <w:multiLevelType w:val="hybridMultilevel"/>
    <w:tmpl w:val="D7F8EA6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5" w15:restartNumberingAfterBreak="0">
    <w:nsid w:val="71146A86"/>
    <w:multiLevelType w:val="multilevel"/>
    <w:tmpl w:val="D76A80B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12F5F3A"/>
    <w:multiLevelType w:val="hybridMultilevel"/>
    <w:tmpl w:val="D8967BFC"/>
    <w:lvl w:ilvl="0" w:tplc="B622A4E4">
      <w:start w:val="1"/>
      <w:numFmt w:val="decimal"/>
      <w:lvlText w:val="%1."/>
      <w:lvlJc w:val="left"/>
      <w:pPr>
        <w:tabs>
          <w:tab w:val="num" w:pos="1080"/>
        </w:tabs>
        <w:ind w:left="1080" w:hanging="360"/>
      </w:pPr>
      <w:rPr>
        <w:rFonts w:cs="Times New Roman" w:hint="default"/>
      </w:rPr>
    </w:lvl>
    <w:lvl w:ilvl="1" w:tplc="29AAE140">
      <w:start w:val="9543"/>
      <w:numFmt w:val="decimalZero"/>
      <w:lvlText w:val="%2"/>
      <w:lvlJc w:val="left"/>
      <w:pPr>
        <w:tabs>
          <w:tab w:val="num" w:pos="2070"/>
        </w:tabs>
        <w:ind w:left="2070" w:hanging="630"/>
      </w:pPr>
      <w:rPr>
        <w:rFonts w:cs="Times New Roman" w:hint="default"/>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7" w15:restartNumberingAfterBreak="0">
    <w:nsid w:val="77926BB6"/>
    <w:multiLevelType w:val="multilevel"/>
    <w:tmpl w:val="483E02C4"/>
    <w:lvl w:ilvl="0">
      <w:start w:val="9"/>
      <w:numFmt w:val="decimal"/>
      <w:lvlText w:val="%1."/>
      <w:lvlJc w:val="left"/>
      <w:pPr>
        <w:tabs>
          <w:tab w:val="num" w:pos="360"/>
        </w:tabs>
        <w:ind w:left="360" w:hanging="360"/>
      </w:pPr>
      <w:rPr>
        <w:rFonts w:hint="default"/>
        <w:b w:val="0"/>
        <w:i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DE345B6"/>
    <w:multiLevelType w:val="hybridMultilevel"/>
    <w:tmpl w:val="656C7BFC"/>
    <w:lvl w:ilvl="0" w:tplc="D5B8AA5A">
      <w:start w:val="1"/>
      <w:numFmt w:val="decimal"/>
      <w:lvlText w:val="%1."/>
      <w:lvlJc w:val="left"/>
      <w:pPr>
        <w:tabs>
          <w:tab w:val="num" w:pos="420"/>
        </w:tabs>
        <w:ind w:left="420" w:hanging="360"/>
      </w:pPr>
      <w:rPr>
        <w:rFonts w:ascii="Arial" w:hAnsi="Arial" w:cs="Times New Roman" w:hint="default"/>
        <w:b w:val="0"/>
        <w:i w:val="0"/>
        <w:sz w:val="18"/>
        <w:szCs w:val="18"/>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7E222691"/>
    <w:multiLevelType w:val="hybridMultilevel"/>
    <w:tmpl w:val="A7F4BD42"/>
    <w:lvl w:ilvl="0" w:tplc="0A8AB5C6">
      <w:start w:val="1"/>
      <w:numFmt w:val="decimal"/>
      <w:pStyle w:val="slovanodstavec"/>
      <w:lvlText w:val="%1."/>
      <w:lvlJc w:val="left"/>
      <w:pPr>
        <w:tabs>
          <w:tab w:val="num" w:pos="360"/>
        </w:tabs>
        <w:ind w:left="360" w:hanging="360"/>
      </w:pPr>
      <w:rPr>
        <w:rFonts w:ascii="Times New Roman" w:hAnsi="Times New Roman" w:cs="Times New Roman" w:hint="default"/>
        <w:b w:val="0"/>
        <w:i w:val="0"/>
        <w:sz w:val="18"/>
      </w:rPr>
    </w:lvl>
    <w:lvl w:ilvl="1" w:tplc="01DA78D6">
      <w:start w:val="1"/>
      <w:numFmt w:val="decimal"/>
      <w:lvlText w:val="%2."/>
      <w:lvlJc w:val="left"/>
      <w:pPr>
        <w:tabs>
          <w:tab w:val="num" w:pos="1440"/>
        </w:tabs>
        <w:ind w:left="1440" w:hanging="360"/>
      </w:pPr>
      <w:rPr>
        <w:rFonts w:cs="Times New Roman"/>
      </w:rPr>
    </w:lvl>
    <w:lvl w:ilvl="2" w:tplc="388CD47C">
      <w:start w:val="1"/>
      <w:numFmt w:val="decimal"/>
      <w:lvlText w:val="%3."/>
      <w:lvlJc w:val="left"/>
      <w:pPr>
        <w:tabs>
          <w:tab w:val="num" w:pos="2160"/>
        </w:tabs>
        <w:ind w:left="2160" w:hanging="360"/>
      </w:pPr>
      <w:rPr>
        <w:rFonts w:cs="Times New Roman"/>
      </w:rPr>
    </w:lvl>
    <w:lvl w:ilvl="3" w:tplc="12E08C5C">
      <w:start w:val="1"/>
      <w:numFmt w:val="decimal"/>
      <w:lvlText w:val="%4."/>
      <w:lvlJc w:val="left"/>
      <w:pPr>
        <w:tabs>
          <w:tab w:val="num" w:pos="2880"/>
        </w:tabs>
        <w:ind w:left="2880" w:hanging="360"/>
      </w:pPr>
      <w:rPr>
        <w:rFonts w:cs="Times New Roman"/>
      </w:rPr>
    </w:lvl>
    <w:lvl w:ilvl="4" w:tplc="0C3A5B60">
      <w:start w:val="1"/>
      <w:numFmt w:val="decimal"/>
      <w:lvlText w:val="%5."/>
      <w:lvlJc w:val="left"/>
      <w:pPr>
        <w:tabs>
          <w:tab w:val="num" w:pos="3600"/>
        </w:tabs>
        <w:ind w:left="3600" w:hanging="360"/>
      </w:pPr>
      <w:rPr>
        <w:rFonts w:cs="Times New Roman"/>
      </w:rPr>
    </w:lvl>
    <w:lvl w:ilvl="5" w:tplc="F1E44958">
      <w:start w:val="1"/>
      <w:numFmt w:val="decimal"/>
      <w:lvlText w:val="%6."/>
      <w:lvlJc w:val="left"/>
      <w:pPr>
        <w:tabs>
          <w:tab w:val="num" w:pos="4320"/>
        </w:tabs>
        <w:ind w:left="4320" w:hanging="360"/>
      </w:pPr>
      <w:rPr>
        <w:rFonts w:cs="Times New Roman"/>
      </w:rPr>
    </w:lvl>
    <w:lvl w:ilvl="6" w:tplc="0AE40E8C">
      <w:start w:val="1"/>
      <w:numFmt w:val="decimal"/>
      <w:lvlText w:val="%7."/>
      <w:lvlJc w:val="left"/>
      <w:pPr>
        <w:tabs>
          <w:tab w:val="num" w:pos="5040"/>
        </w:tabs>
        <w:ind w:left="5040" w:hanging="360"/>
      </w:pPr>
      <w:rPr>
        <w:rFonts w:cs="Times New Roman"/>
      </w:rPr>
    </w:lvl>
    <w:lvl w:ilvl="7" w:tplc="638A2B02">
      <w:start w:val="1"/>
      <w:numFmt w:val="decimal"/>
      <w:lvlText w:val="%8."/>
      <w:lvlJc w:val="left"/>
      <w:pPr>
        <w:tabs>
          <w:tab w:val="num" w:pos="5760"/>
        </w:tabs>
        <w:ind w:left="5760" w:hanging="360"/>
      </w:pPr>
      <w:rPr>
        <w:rFonts w:cs="Times New Roman"/>
      </w:rPr>
    </w:lvl>
    <w:lvl w:ilvl="8" w:tplc="652265E8">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8"/>
  </w:num>
  <w:num w:numId="5">
    <w:abstractNumId w:val="1"/>
  </w:num>
  <w:num w:numId="6">
    <w:abstractNumId w:val="16"/>
  </w:num>
  <w:num w:numId="7">
    <w:abstractNumId w:val="4"/>
  </w:num>
  <w:num w:numId="8">
    <w:abstractNumId w:val="3"/>
  </w:num>
  <w:num w:numId="9">
    <w:abstractNumId w:val="6"/>
  </w:num>
  <w:num w:numId="10">
    <w:abstractNumId w:val="12"/>
  </w:num>
  <w:num w:numId="11">
    <w:abstractNumId w:val="13"/>
  </w:num>
  <w:num w:numId="12">
    <w:abstractNumId w:val="17"/>
  </w:num>
  <w:num w:numId="13">
    <w:abstractNumId w:val="5"/>
  </w:num>
  <w:num w:numId="14">
    <w:abstractNumId w:val="11"/>
  </w:num>
  <w:num w:numId="15">
    <w:abstractNumId w:val="7"/>
  </w:num>
  <w:num w:numId="16">
    <w:abstractNumId w:val="10"/>
  </w:num>
  <w:num w:numId="17">
    <w:abstractNumId w:val="15"/>
  </w:num>
  <w:num w:numId="18">
    <w:abstractNumId w:val="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DuplexMode" w:val="1"/>
    <w:docVar w:name="VAR.A2" w:val="2 081 942"/>
    <w:docVar w:name="VAR.B2" w:val="6 392 714"/>
    <w:docVar w:name="VAR.DOTISK" w:val="VAR.dotisk"/>
    <w:docVar w:name="VAR.ICO" w:val="VAR.ico"/>
    <w:docVar w:name="VAR.ICZ" w:val="VAR.icz"/>
    <w:docVar w:name="VAR.INFV_ID" w:val="VAR.infv_id"/>
    <w:docVar w:name="VAR.IX_011" w:val="2"/>
    <w:docVar w:name="VAR.K_MESTO" w:val="VAR.k_mesto"/>
    <w:docVar w:name="VAR.K_NAZEV1" w:val="VAR.k_nazev1"/>
    <w:docVar w:name="VAR.K_PSC" w:val="VAR.k_psc"/>
    <w:docVar w:name="VAR.K_ULICE1" w:val="VAR.k_ulice1"/>
    <w:docVar w:name="VAR.K_ULICE2" w:val="VAR.k_ulice2"/>
    <w:docVar w:name="VAR.KODPOB" w:val="VAR.kodpob"/>
    <w:docVar w:name="VAR.LIMIT1" w:val="VAR.limit1"/>
    <w:docVar w:name="VAR.LIMIT2" w:val="VAR.limit2"/>
    <w:docVar w:name="VAR.NAZEV2" w:val="VAR.nazev2"/>
    <w:docVar w:name="VAR.NAZEV3" w:val="VAR.nazev3"/>
    <w:docVar w:name="VAR.S_MESTO" w:val="VAR.s_mesto"/>
    <w:docVar w:name="VAR.S_NAZEV1" w:val="VAR.s_nazev1"/>
    <w:docVar w:name="VAR.S_PSC" w:val="VAR.s_psc"/>
    <w:docVar w:name="VAR.S_ULICE1" w:val="VAR.s_ulice1"/>
    <w:docVar w:name="VAR.S_ULICE2" w:val="VAR.s_ulice2"/>
    <w:docVar w:name="VAR.VARS" w:val="VAR.vars"/>
    <w:docVar w:name="VAR.ZZ_ZAST" w:val="VAR.zz_zast"/>
  </w:docVars>
  <w:rsids>
    <w:rsidRoot w:val="00AD31CD"/>
    <w:rsid w:val="000010E2"/>
    <w:rsid w:val="000014C8"/>
    <w:rsid w:val="00011D58"/>
    <w:rsid w:val="000125B9"/>
    <w:rsid w:val="0001639E"/>
    <w:rsid w:val="00016B0A"/>
    <w:rsid w:val="000223F1"/>
    <w:rsid w:val="00022FDC"/>
    <w:rsid w:val="0002756B"/>
    <w:rsid w:val="00032B29"/>
    <w:rsid w:val="00034096"/>
    <w:rsid w:val="000412C0"/>
    <w:rsid w:val="0004734F"/>
    <w:rsid w:val="00047EA1"/>
    <w:rsid w:val="00050049"/>
    <w:rsid w:val="00050F87"/>
    <w:rsid w:val="000542D2"/>
    <w:rsid w:val="0005615B"/>
    <w:rsid w:val="00057B13"/>
    <w:rsid w:val="000618A7"/>
    <w:rsid w:val="0007069C"/>
    <w:rsid w:val="00070F8A"/>
    <w:rsid w:val="0007260E"/>
    <w:rsid w:val="00080BE0"/>
    <w:rsid w:val="00084D89"/>
    <w:rsid w:val="00084FB6"/>
    <w:rsid w:val="000958CC"/>
    <w:rsid w:val="000A3F39"/>
    <w:rsid w:val="000B0209"/>
    <w:rsid w:val="000B07DC"/>
    <w:rsid w:val="000B782D"/>
    <w:rsid w:val="000E2B12"/>
    <w:rsid w:val="000E2E9E"/>
    <w:rsid w:val="000E4199"/>
    <w:rsid w:val="000E7B1A"/>
    <w:rsid w:val="000F6DBA"/>
    <w:rsid w:val="001047DE"/>
    <w:rsid w:val="0010690D"/>
    <w:rsid w:val="001071D7"/>
    <w:rsid w:val="00107563"/>
    <w:rsid w:val="001145C7"/>
    <w:rsid w:val="001277E5"/>
    <w:rsid w:val="00131907"/>
    <w:rsid w:val="00132FFE"/>
    <w:rsid w:val="001478C4"/>
    <w:rsid w:val="00163933"/>
    <w:rsid w:val="00172061"/>
    <w:rsid w:val="0017441F"/>
    <w:rsid w:val="001773FD"/>
    <w:rsid w:val="001903BF"/>
    <w:rsid w:val="00193117"/>
    <w:rsid w:val="00193888"/>
    <w:rsid w:val="00193C59"/>
    <w:rsid w:val="00194128"/>
    <w:rsid w:val="001A5696"/>
    <w:rsid w:val="001A793E"/>
    <w:rsid w:val="001B47B4"/>
    <w:rsid w:val="001C021B"/>
    <w:rsid w:val="001C339A"/>
    <w:rsid w:val="001E0FDB"/>
    <w:rsid w:val="001E486E"/>
    <w:rsid w:val="002012BD"/>
    <w:rsid w:val="0020378C"/>
    <w:rsid w:val="00203CD6"/>
    <w:rsid w:val="00203F01"/>
    <w:rsid w:val="0020489D"/>
    <w:rsid w:val="00206B18"/>
    <w:rsid w:val="00207997"/>
    <w:rsid w:val="00244831"/>
    <w:rsid w:val="00253AB7"/>
    <w:rsid w:val="00254774"/>
    <w:rsid w:val="002601AB"/>
    <w:rsid w:val="00266DE2"/>
    <w:rsid w:val="00271CA7"/>
    <w:rsid w:val="0028452B"/>
    <w:rsid w:val="002902B5"/>
    <w:rsid w:val="002911B7"/>
    <w:rsid w:val="0029199E"/>
    <w:rsid w:val="0029223B"/>
    <w:rsid w:val="00293884"/>
    <w:rsid w:val="00294590"/>
    <w:rsid w:val="00294E35"/>
    <w:rsid w:val="002956EF"/>
    <w:rsid w:val="002A000A"/>
    <w:rsid w:val="002A1533"/>
    <w:rsid w:val="002A4292"/>
    <w:rsid w:val="002A45C7"/>
    <w:rsid w:val="002B0AD5"/>
    <w:rsid w:val="002B16A1"/>
    <w:rsid w:val="002C025A"/>
    <w:rsid w:val="002C3980"/>
    <w:rsid w:val="002C59A4"/>
    <w:rsid w:val="002D57DF"/>
    <w:rsid w:val="002E37A4"/>
    <w:rsid w:val="002E5857"/>
    <w:rsid w:val="002E6508"/>
    <w:rsid w:val="003014D2"/>
    <w:rsid w:val="00302A1B"/>
    <w:rsid w:val="0030579C"/>
    <w:rsid w:val="00325038"/>
    <w:rsid w:val="00331665"/>
    <w:rsid w:val="00334AC9"/>
    <w:rsid w:val="003357CA"/>
    <w:rsid w:val="0034277D"/>
    <w:rsid w:val="003441C4"/>
    <w:rsid w:val="00344633"/>
    <w:rsid w:val="00347591"/>
    <w:rsid w:val="00355B57"/>
    <w:rsid w:val="00375BAD"/>
    <w:rsid w:val="003769D9"/>
    <w:rsid w:val="00382C67"/>
    <w:rsid w:val="00385DA6"/>
    <w:rsid w:val="003917AA"/>
    <w:rsid w:val="00394D90"/>
    <w:rsid w:val="00395035"/>
    <w:rsid w:val="00395107"/>
    <w:rsid w:val="00396D43"/>
    <w:rsid w:val="0039741B"/>
    <w:rsid w:val="00397EFA"/>
    <w:rsid w:val="003A0394"/>
    <w:rsid w:val="003A2C51"/>
    <w:rsid w:val="003B1D4C"/>
    <w:rsid w:val="003B316A"/>
    <w:rsid w:val="003C0232"/>
    <w:rsid w:val="003C1C00"/>
    <w:rsid w:val="003D327C"/>
    <w:rsid w:val="003E1495"/>
    <w:rsid w:val="00401AD1"/>
    <w:rsid w:val="00403D1C"/>
    <w:rsid w:val="00406E25"/>
    <w:rsid w:val="004136EA"/>
    <w:rsid w:val="00415E1B"/>
    <w:rsid w:val="00416390"/>
    <w:rsid w:val="00425E46"/>
    <w:rsid w:val="00435CE3"/>
    <w:rsid w:val="00435E9D"/>
    <w:rsid w:val="00441340"/>
    <w:rsid w:val="00450CF2"/>
    <w:rsid w:val="00457B9B"/>
    <w:rsid w:val="004608C8"/>
    <w:rsid w:val="00467BB1"/>
    <w:rsid w:val="00471D6D"/>
    <w:rsid w:val="004846DF"/>
    <w:rsid w:val="0049160F"/>
    <w:rsid w:val="0049185F"/>
    <w:rsid w:val="0049293E"/>
    <w:rsid w:val="004A498A"/>
    <w:rsid w:val="004B0A26"/>
    <w:rsid w:val="004B4437"/>
    <w:rsid w:val="004B6321"/>
    <w:rsid w:val="004C1152"/>
    <w:rsid w:val="004C1D63"/>
    <w:rsid w:val="004C3B52"/>
    <w:rsid w:val="004D53E6"/>
    <w:rsid w:val="004E2EB5"/>
    <w:rsid w:val="004F0B9A"/>
    <w:rsid w:val="004F728C"/>
    <w:rsid w:val="0050156D"/>
    <w:rsid w:val="005071FD"/>
    <w:rsid w:val="00530ACD"/>
    <w:rsid w:val="00536007"/>
    <w:rsid w:val="00540967"/>
    <w:rsid w:val="0055311F"/>
    <w:rsid w:val="00553379"/>
    <w:rsid w:val="00560CCA"/>
    <w:rsid w:val="0056499A"/>
    <w:rsid w:val="00566DE7"/>
    <w:rsid w:val="005779B8"/>
    <w:rsid w:val="0059201B"/>
    <w:rsid w:val="005A3F68"/>
    <w:rsid w:val="005A699C"/>
    <w:rsid w:val="005A6CB5"/>
    <w:rsid w:val="005B6E41"/>
    <w:rsid w:val="005B6EB9"/>
    <w:rsid w:val="005C1674"/>
    <w:rsid w:val="005C6B95"/>
    <w:rsid w:val="005D4B47"/>
    <w:rsid w:val="005F759B"/>
    <w:rsid w:val="006174FD"/>
    <w:rsid w:val="00634661"/>
    <w:rsid w:val="0064330C"/>
    <w:rsid w:val="00647C3F"/>
    <w:rsid w:val="00651F0C"/>
    <w:rsid w:val="00667FCF"/>
    <w:rsid w:val="00680610"/>
    <w:rsid w:val="00681809"/>
    <w:rsid w:val="00687937"/>
    <w:rsid w:val="006C2381"/>
    <w:rsid w:val="006C372E"/>
    <w:rsid w:val="006C618F"/>
    <w:rsid w:val="006E3593"/>
    <w:rsid w:val="006F177D"/>
    <w:rsid w:val="00700D5A"/>
    <w:rsid w:val="00705030"/>
    <w:rsid w:val="00712161"/>
    <w:rsid w:val="0072748C"/>
    <w:rsid w:val="00735DA0"/>
    <w:rsid w:val="0074752B"/>
    <w:rsid w:val="00747C0F"/>
    <w:rsid w:val="0075153A"/>
    <w:rsid w:val="00753A68"/>
    <w:rsid w:val="007571B2"/>
    <w:rsid w:val="007607C7"/>
    <w:rsid w:val="00760DDC"/>
    <w:rsid w:val="00764102"/>
    <w:rsid w:val="00775E09"/>
    <w:rsid w:val="00776622"/>
    <w:rsid w:val="00776BBA"/>
    <w:rsid w:val="00784637"/>
    <w:rsid w:val="00785278"/>
    <w:rsid w:val="0079117D"/>
    <w:rsid w:val="007A66EC"/>
    <w:rsid w:val="007B2C8D"/>
    <w:rsid w:val="007C0C74"/>
    <w:rsid w:val="007C7A3F"/>
    <w:rsid w:val="007D1343"/>
    <w:rsid w:val="007D2FBD"/>
    <w:rsid w:val="007D390A"/>
    <w:rsid w:val="007E2396"/>
    <w:rsid w:val="007E2671"/>
    <w:rsid w:val="007E58DC"/>
    <w:rsid w:val="007E64C8"/>
    <w:rsid w:val="007F0AC3"/>
    <w:rsid w:val="007F136C"/>
    <w:rsid w:val="007F3377"/>
    <w:rsid w:val="007F55D0"/>
    <w:rsid w:val="007F6148"/>
    <w:rsid w:val="0080115D"/>
    <w:rsid w:val="00814519"/>
    <w:rsid w:val="00815C81"/>
    <w:rsid w:val="0082093A"/>
    <w:rsid w:val="00820C82"/>
    <w:rsid w:val="0083272B"/>
    <w:rsid w:val="0083538A"/>
    <w:rsid w:val="0083780E"/>
    <w:rsid w:val="0085658A"/>
    <w:rsid w:val="00862FC5"/>
    <w:rsid w:val="00881D63"/>
    <w:rsid w:val="0089518D"/>
    <w:rsid w:val="008A7986"/>
    <w:rsid w:val="008B2496"/>
    <w:rsid w:val="008B7E89"/>
    <w:rsid w:val="008D690B"/>
    <w:rsid w:val="008D740D"/>
    <w:rsid w:val="008E2EDC"/>
    <w:rsid w:val="008E64E1"/>
    <w:rsid w:val="008E6A53"/>
    <w:rsid w:val="008F44BC"/>
    <w:rsid w:val="008F78A0"/>
    <w:rsid w:val="008F7BC3"/>
    <w:rsid w:val="008F7D57"/>
    <w:rsid w:val="009020F5"/>
    <w:rsid w:val="00913CBF"/>
    <w:rsid w:val="0091792F"/>
    <w:rsid w:val="00935CA6"/>
    <w:rsid w:val="00951235"/>
    <w:rsid w:val="00957D9E"/>
    <w:rsid w:val="00976649"/>
    <w:rsid w:val="0098775B"/>
    <w:rsid w:val="009879C8"/>
    <w:rsid w:val="00996EE1"/>
    <w:rsid w:val="00996FD4"/>
    <w:rsid w:val="009B7FCC"/>
    <w:rsid w:val="009D194B"/>
    <w:rsid w:val="009D29E7"/>
    <w:rsid w:val="009D4D5D"/>
    <w:rsid w:val="009D7CD2"/>
    <w:rsid w:val="009E6F82"/>
    <w:rsid w:val="009F0758"/>
    <w:rsid w:val="009F3FBE"/>
    <w:rsid w:val="009F44E8"/>
    <w:rsid w:val="00A04B85"/>
    <w:rsid w:val="00A10C2A"/>
    <w:rsid w:val="00A12D53"/>
    <w:rsid w:val="00A12DF2"/>
    <w:rsid w:val="00A20AF8"/>
    <w:rsid w:val="00A3710C"/>
    <w:rsid w:val="00A37BE2"/>
    <w:rsid w:val="00A675BB"/>
    <w:rsid w:val="00A67B26"/>
    <w:rsid w:val="00A7169E"/>
    <w:rsid w:val="00A74CFE"/>
    <w:rsid w:val="00A83F7F"/>
    <w:rsid w:val="00A9372F"/>
    <w:rsid w:val="00A93C14"/>
    <w:rsid w:val="00A95676"/>
    <w:rsid w:val="00AA3E00"/>
    <w:rsid w:val="00AB2B6E"/>
    <w:rsid w:val="00AC4C7D"/>
    <w:rsid w:val="00AC518B"/>
    <w:rsid w:val="00AC730B"/>
    <w:rsid w:val="00AD18E8"/>
    <w:rsid w:val="00AD31CD"/>
    <w:rsid w:val="00AD6E6A"/>
    <w:rsid w:val="00AD7586"/>
    <w:rsid w:val="00AD7BFD"/>
    <w:rsid w:val="00AE7945"/>
    <w:rsid w:val="00AF06BC"/>
    <w:rsid w:val="00AF55A6"/>
    <w:rsid w:val="00B11B53"/>
    <w:rsid w:val="00B141C1"/>
    <w:rsid w:val="00B14E76"/>
    <w:rsid w:val="00B2141A"/>
    <w:rsid w:val="00B23601"/>
    <w:rsid w:val="00B3720B"/>
    <w:rsid w:val="00B450DA"/>
    <w:rsid w:val="00B618A9"/>
    <w:rsid w:val="00B66405"/>
    <w:rsid w:val="00B824F2"/>
    <w:rsid w:val="00B847E2"/>
    <w:rsid w:val="00B97483"/>
    <w:rsid w:val="00BA349C"/>
    <w:rsid w:val="00BA5536"/>
    <w:rsid w:val="00BB06E7"/>
    <w:rsid w:val="00BB07C6"/>
    <w:rsid w:val="00BD4B2B"/>
    <w:rsid w:val="00BD628C"/>
    <w:rsid w:val="00BE03F9"/>
    <w:rsid w:val="00BE0D56"/>
    <w:rsid w:val="00BE431F"/>
    <w:rsid w:val="00BE71D6"/>
    <w:rsid w:val="00BE7B0B"/>
    <w:rsid w:val="00BF4DD1"/>
    <w:rsid w:val="00BF5F37"/>
    <w:rsid w:val="00C0393A"/>
    <w:rsid w:val="00C039F4"/>
    <w:rsid w:val="00C0547F"/>
    <w:rsid w:val="00C06DFA"/>
    <w:rsid w:val="00C07EC8"/>
    <w:rsid w:val="00C136E3"/>
    <w:rsid w:val="00C218BF"/>
    <w:rsid w:val="00C42781"/>
    <w:rsid w:val="00C43A6A"/>
    <w:rsid w:val="00C47672"/>
    <w:rsid w:val="00C478D8"/>
    <w:rsid w:val="00C551EF"/>
    <w:rsid w:val="00C6200E"/>
    <w:rsid w:val="00C64C14"/>
    <w:rsid w:val="00C706CB"/>
    <w:rsid w:val="00C7257E"/>
    <w:rsid w:val="00C74E5D"/>
    <w:rsid w:val="00C76F33"/>
    <w:rsid w:val="00C876E5"/>
    <w:rsid w:val="00CA45B5"/>
    <w:rsid w:val="00CC0CC2"/>
    <w:rsid w:val="00CC3658"/>
    <w:rsid w:val="00CC65DF"/>
    <w:rsid w:val="00CD07D2"/>
    <w:rsid w:val="00CE379E"/>
    <w:rsid w:val="00CE44A2"/>
    <w:rsid w:val="00CF1883"/>
    <w:rsid w:val="00CF57CD"/>
    <w:rsid w:val="00CF6811"/>
    <w:rsid w:val="00D10D04"/>
    <w:rsid w:val="00D32532"/>
    <w:rsid w:val="00D41321"/>
    <w:rsid w:val="00D46FB9"/>
    <w:rsid w:val="00D56C6B"/>
    <w:rsid w:val="00D619D4"/>
    <w:rsid w:val="00D75804"/>
    <w:rsid w:val="00D81147"/>
    <w:rsid w:val="00DA13E6"/>
    <w:rsid w:val="00DA2E3F"/>
    <w:rsid w:val="00DA3986"/>
    <w:rsid w:val="00DA3E48"/>
    <w:rsid w:val="00DB2D97"/>
    <w:rsid w:val="00DB75BF"/>
    <w:rsid w:val="00DC15EE"/>
    <w:rsid w:val="00DC394D"/>
    <w:rsid w:val="00DC7E92"/>
    <w:rsid w:val="00DD38B9"/>
    <w:rsid w:val="00DD47AE"/>
    <w:rsid w:val="00DE214E"/>
    <w:rsid w:val="00DE51C4"/>
    <w:rsid w:val="00DE7244"/>
    <w:rsid w:val="00DF0505"/>
    <w:rsid w:val="00DF6CE2"/>
    <w:rsid w:val="00E13905"/>
    <w:rsid w:val="00E219CC"/>
    <w:rsid w:val="00E312BE"/>
    <w:rsid w:val="00E378AF"/>
    <w:rsid w:val="00E41439"/>
    <w:rsid w:val="00E44344"/>
    <w:rsid w:val="00E567CA"/>
    <w:rsid w:val="00E71AB4"/>
    <w:rsid w:val="00E83D97"/>
    <w:rsid w:val="00E87660"/>
    <w:rsid w:val="00E9314E"/>
    <w:rsid w:val="00EA267C"/>
    <w:rsid w:val="00EA4C12"/>
    <w:rsid w:val="00EB51A1"/>
    <w:rsid w:val="00EB6DFC"/>
    <w:rsid w:val="00EB7BFB"/>
    <w:rsid w:val="00ED3CFD"/>
    <w:rsid w:val="00EE1C5D"/>
    <w:rsid w:val="00EE450C"/>
    <w:rsid w:val="00EE4DC2"/>
    <w:rsid w:val="00EE59C5"/>
    <w:rsid w:val="00EF2C63"/>
    <w:rsid w:val="00EF5C02"/>
    <w:rsid w:val="00EF687C"/>
    <w:rsid w:val="00F17952"/>
    <w:rsid w:val="00F27E32"/>
    <w:rsid w:val="00F40148"/>
    <w:rsid w:val="00F40AC5"/>
    <w:rsid w:val="00F4468E"/>
    <w:rsid w:val="00F51D22"/>
    <w:rsid w:val="00F56432"/>
    <w:rsid w:val="00F7292C"/>
    <w:rsid w:val="00F80D38"/>
    <w:rsid w:val="00F82FD1"/>
    <w:rsid w:val="00F859A6"/>
    <w:rsid w:val="00F90711"/>
    <w:rsid w:val="00F9398F"/>
    <w:rsid w:val="00F978A0"/>
    <w:rsid w:val="00F97E76"/>
    <w:rsid w:val="00FA2376"/>
    <w:rsid w:val="00FA56F3"/>
    <w:rsid w:val="00FB14F8"/>
    <w:rsid w:val="00FB612D"/>
    <w:rsid w:val="00FC5435"/>
    <w:rsid w:val="00FD3C48"/>
    <w:rsid w:val="00FD3F9B"/>
    <w:rsid w:val="00FE4555"/>
    <w:rsid w:val="00FE51F6"/>
    <w:rsid w:val="00FF0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184CE3"/>
  <w15:docId w15:val="{73D2A905-552C-40DF-AC5A-6C939EE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qFormat/>
    <w:pPr>
      <w:keepNext/>
      <w:outlineLvl w:val="2"/>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style>
  <w:style w:type="paragraph" w:customStyle="1" w:styleId="Texttabulky">
    <w:name w:val="Text tabulky"/>
    <w:rPr>
      <w:color w:val="000000"/>
      <w:sz w:val="24"/>
    </w:rPr>
  </w:style>
  <w:style w:type="paragraph" w:customStyle="1" w:styleId="Nadpissti">
    <w:name w:val="Nadpis části"/>
    <w:basedOn w:val="Normln"/>
    <w:pPr>
      <w:spacing w:before="40"/>
      <w:jc w:val="center"/>
    </w:pPr>
    <w:rPr>
      <w:b/>
      <w:bCs/>
      <w:sz w:val="22"/>
    </w:rPr>
  </w:style>
  <w:style w:type="paragraph" w:customStyle="1" w:styleId="slovanodstavec">
    <w:name w:val="Číslovaný odstavec"/>
    <w:basedOn w:val="Nadpissti"/>
    <w:next w:val="Nadpissti"/>
    <w:pPr>
      <w:numPr>
        <w:numId w:val="1"/>
      </w:numPr>
      <w:spacing w:before="20"/>
      <w:jc w:val="both"/>
    </w:pPr>
    <w:rPr>
      <w:b w:val="0"/>
      <w:sz w:val="18"/>
    </w:rPr>
  </w:style>
  <w:style w:type="paragraph" w:styleId="Zkladntext">
    <w:name w:val="Body Text"/>
    <w:aliases w:val="Text_odstavce_čísl"/>
    <w:basedOn w:val="Normln"/>
    <w:pPr>
      <w:jc w:val="both"/>
    </w:pPr>
    <w:rPr>
      <w:color w:val="000000"/>
    </w:rPr>
  </w:style>
  <w:style w:type="paragraph" w:styleId="Zkladntext3">
    <w:name w:val="Body Text 3"/>
    <w:basedOn w:val="Normln"/>
    <w:pPr>
      <w:spacing w:after="120"/>
    </w:pPr>
    <w:rPr>
      <w:sz w:val="16"/>
      <w:szCs w:val="16"/>
    </w:rPr>
  </w:style>
  <w:style w:type="character" w:styleId="slostrnky">
    <w:name w:val="page number"/>
    <w:rPr>
      <w:rFonts w:cs="Times New Roman"/>
    </w:rPr>
  </w:style>
  <w:style w:type="paragraph" w:styleId="Zpat">
    <w:name w:val="footer"/>
    <w:basedOn w:val="Normln"/>
    <w:pPr>
      <w:tabs>
        <w:tab w:val="center" w:pos="4536"/>
        <w:tab w:val="right" w:pos="9072"/>
      </w:tabs>
      <w:jc w:val="both"/>
    </w:pPr>
    <w:rPr>
      <w:sz w:val="24"/>
    </w:rPr>
  </w:style>
  <w:style w:type="paragraph" w:customStyle="1" w:styleId="BodyText31">
    <w:name w:val="Body Text 31"/>
    <w:basedOn w:val="Normln"/>
    <w:pPr>
      <w:spacing w:before="120" w:after="120" w:line="240" w:lineRule="atLeast"/>
      <w:ind w:right="-483"/>
      <w:jc w:val="center"/>
    </w:pPr>
    <w:rPr>
      <w:b/>
      <w:sz w:val="32"/>
    </w:rPr>
  </w:style>
  <w:style w:type="paragraph" w:styleId="Textvbloku">
    <w:name w:val="Block Text"/>
    <w:basedOn w:val="Normln"/>
    <w:pPr>
      <w:spacing w:before="60" w:line="240" w:lineRule="atLeast"/>
      <w:ind w:left="284" w:right="-1"/>
      <w:jc w:val="both"/>
    </w:pPr>
    <w:rPr>
      <w:sz w:val="18"/>
    </w:rPr>
  </w:style>
  <w:style w:type="paragraph" w:styleId="Zkladntextodsazen">
    <w:name w:val="Body Text Indent"/>
    <w:basedOn w:val="Normln"/>
    <w:pPr>
      <w:spacing w:after="120" w:line="480" w:lineRule="auto"/>
    </w:pPr>
  </w:style>
  <w:style w:type="paragraph" w:customStyle="1" w:styleId="TextodstavceCharChar">
    <w:name w:val="Text odstavce Char Char"/>
    <w:basedOn w:val="Normln"/>
    <w:link w:val="TextodstavceCharCharChar"/>
    <w:rsid w:val="007E2396"/>
    <w:pPr>
      <w:tabs>
        <w:tab w:val="num" w:pos="785"/>
        <w:tab w:val="left" w:pos="851"/>
      </w:tabs>
      <w:spacing w:before="120" w:after="120"/>
      <w:ind w:firstLine="425"/>
      <w:jc w:val="both"/>
      <w:outlineLvl w:val="6"/>
    </w:pPr>
    <w:rPr>
      <w:sz w:val="24"/>
    </w:rPr>
  </w:style>
  <w:style w:type="paragraph" w:styleId="Seznam2">
    <w:name w:val="List 2"/>
    <w:basedOn w:val="Normln"/>
    <w:pPr>
      <w:ind w:left="566" w:hanging="283"/>
    </w:pPr>
    <w:rPr>
      <w:sz w:val="24"/>
    </w:rPr>
  </w:style>
  <w:style w:type="paragraph" w:styleId="Zkladntextodsazen2">
    <w:name w:val="Body Text Indent 2"/>
    <w:basedOn w:val="Normln"/>
    <w:pPr>
      <w:spacing w:after="120" w:line="480" w:lineRule="auto"/>
      <w:ind w:left="283"/>
    </w:pPr>
  </w:style>
  <w:style w:type="paragraph" w:styleId="Zhlav">
    <w:name w:val="header"/>
    <w:basedOn w:val="Normln"/>
    <w:pPr>
      <w:tabs>
        <w:tab w:val="center" w:pos="4536"/>
        <w:tab w:val="right" w:pos="9072"/>
      </w:tabs>
    </w:pPr>
  </w:style>
  <w:style w:type="paragraph" w:customStyle="1" w:styleId="Textbodu">
    <w:name w:val="Text bodu"/>
    <w:basedOn w:val="Normln"/>
    <w:pPr>
      <w:numPr>
        <w:ilvl w:val="2"/>
        <w:numId w:val="3"/>
      </w:numPr>
      <w:jc w:val="both"/>
      <w:outlineLvl w:val="8"/>
    </w:pPr>
    <w:rPr>
      <w:sz w:val="24"/>
    </w:rPr>
  </w:style>
  <w:style w:type="paragraph" w:customStyle="1" w:styleId="Textpsmene">
    <w:name w:val="Text písmene"/>
    <w:basedOn w:val="Normln"/>
    <w:pPr>
      <w:numPr>
        <w:ilvl w:val="1"/>
        <w:numId w:val="3"/>
      </w:numPr>
      <w:jc w:val="both"/>
      <w:outlineLvl w:val="7"/>
    </w:pPr>
    <w:rPr>
      <w:sz w:val="24"/>
    </w:rPr>
  </w:style>
  <w:style w:type="paragraph" w:customStyle="1" w:styleId="Textodstavce">
    <w:name w:val="Text odstavce"/>
    <w:basedOn w:val="Normln"/>
    <w:pPr>
      <w:numPr>
        <w:numId w:val="3"/>
      </w:numPr>
      <w:tabs>
        <w:tab w:val="left" w:pos="851"/>
      </w:tabs>
      <w:spacing w:before="120" w:after="120"/>
      <w:jc w:val="both"/>
      <w:outlineLvl w:val="6"/>
    </w:pPr>
    <w:rPr>
      <w:sz w:val="24"/>
    </w:rPr>
  </w:style>
  <w:style w:type="paragraph" w:customStyle="1" w:styleId="BodyText21">
    <w:name w:val="Body Text 21"/>
    <w:basedOn w:val="Normln"/>
    <w:pPr>
      <w:jc w:val="both"/>
    </w:pPr>
    <w:rPr>
      <w:rFonts w:ascii="Arial" w:hAnsi="Arial" w:cs="Arial"/>
      <w:sz w:val="24"/>
      <w:szCs w:val="24"/>
    </w:rPr>
  </w:style>
  <w:style w:type="character" w:customStyle="1" w:styleId="TextodstavceslChar">
    <w:name w:val="Text_odstavce_čísl Char"/>
    <w:aliases w:val="Základní text Char"/>
    <w:rPr>
      <w:color w:val="000000"/>
      <w:lang w:val="cs-CZ" w:eastAsia="cs-CZ"/>
    </w:rPr>
  </w:style>
  <w:style w:type="paragraph" w:styleId="Zkladntextodsazen3">
    <w:name w:val="Body Text Indent 3"/>
    <w:basedOn w:val="Normln"/>
    <w:pPr>
      <w:spacing w:after="120"/>
      <w:ind w:left="283"/>
    </w:pPr>
    <w:rPr>
      <w:sz w:val="16"/>
      <w:szCs w:val="16"/>
    </w:rPr>
  </w:style>
  <w:style w:type="character" w:customStyle="1" w:styleId="TextodstavceChar">
    <w:name w:val="Text odstavce Char"/>
    <w:rPr>
      <w:sz w:val="24"/>
      <w:lang w:val="cs-CZ" w:eastAsia="cs-CZ"/>
    </w:rPr>
  </w:style>
  <w:style w:type="character" w:customStyle="1" w:styleId="TextodstavceCharCharChar">
    <w:name w:val="Text odstavce Char Char Char"/>
    <w:link w:val="TextodstavceCharChar"/>
    <w:rsid w:val="007E2396"/>
    <w:rPr>
      <w:sz w:val="24"/>
      <w:lang w:val="cs-CZ" w:eastAsia="cs-CZ"/>
    </w:rPr>
  </w:style>
  <w:style w:type="table" w:styleId="Mkatabulky">
    <w:name w:val="Table Grid"/>
    <w:basedOn w:val="Normlntabulka"/>
    <w:rsid w:val="000726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semiHidden/>
    <w:rsid w:val="00DD38B9"/>
    <w:rPr>
      <w:vertAlign w:val="superscript"/>
    </w:rPr>
  </w:style>
  <w:style w:type="paragraph" w:customStyle="1" w:styleId="CM53">
    <w:name w:val="CM53"/>
    <w:basedOn w:val="Normln"/>
    <w:next w:val="Normln"/>
    <w:rsid w:val="005A699C"/>
    <w:pPr>
      <w:widowControl w:val="0"/>
      <w:autoSpaceDE w:val="0"/>
      <w:autoSpaceDN w:val="0"/>
      <w:adjustRightInd w:val="0"/>
      <w:spacing w:after="243"/>
    </w:pPr>
    <w:rPr>
      <w:rFonts w:ascii="CDDAF N+ Myriad Pro" w:hAnsi="CDDAF N+ Myriad Pro" w:cs="CDDAF N+ Myriad Pro"/>
      <w:sz w:val="24"/>
      <w:szCs w:val="24"/>
    </w:rPr>
  </w:style>
  <w:style w:type="paragraph" w:customStyle="1" w:styleId="CM51">
    <w:name w:val="CM51"/>
    <w:basedOn w:val="Normln"/>
    <w:next w:val="Normln"/>
    <w:rsid w:val="002902B5"/>
    <w:pPr>
      <w:widowControl w:val="0"/>
      <w:autoSpaceDE w:val="0"/>
      <w:autoSpaceDN w:val="0"/>
      <w:adjustRightInd w:val="0"/>
      <w:spacing w:after="528"/>
    </w:pPr>
    <w:rPr>
      <w:rFonts w:ascii="CDDAF N+ Myriad Pro" w:hAnsi="CDDAF N+ Myriad Pro" w:cs="CDDAF N+ Myriad Pro"/>
      <w:sz w:val="24"/>
      <w:szCs w:val="24"/>
    </w:rPr>
  </w:style>
  <w:style w:type="paragraph" w:customStyle="1" w:styleId="CM3">
    <w:name w:val="CM3"/>
    <w:basedOn w:val="Normln"/>
    <w:next w:val="Normln"/>
    <w:rsid w:val="002902B5"/>
    <w:pPr>
      <w:widowControl w:val="0"/>
      <w:autoSpaceDE w:val="0"/>
      <w:autoSpaceDN w:val="0"/>
      <w:adjustRightInd w:val="0"/>
    </w:pPr>
    <w:rPr>
      <w:rFonts w:ascii="CDDAF N+ Myriad Pro" w:hAnsi="CDDAF N+ Myriad Pro" w:cs="CDDAF N+ Myriad Pro"/>
      <w:sz w:val="24"/>
      <w:szCs w:val="24"/>
    </w:rPr>
  </w:style>
  <w:style w:type="paragraph" w:customStyle="1" w:styleId="CM7">
    <w:name w:val="CM7"/>
    <w:basedOn w:val="Normln"/>
    <w:next w:val="Normln"/>
    <w:rsid w:val="00057B13"/>
    <w:pPr>
      <w:widowControl w:val="0"/>
      <w:autoSpaceDE w:val="0"/>
      <w:autoSpaceDN w:val="0"/>
      <w:adjustRightInd w:val="0"/>
      <w:spacing w:line="266" w:lineRule="atLeast"/>
    </w:pPr>
    <w:rPr>
      <w:rFonts w:ascii="CDDAF N+ Myriad Pro" w:hAnsi="CDDAF N+ Myriad Pro" w:cs="CDDAF N+ Myriad Pro"/>
      <w:sz w:val="24"/>
      <w:szCs w:val="24"/>
    </w:rPr>
  </w:style>
  <w:style w:type="paragraph" w:styleId="Textbubliny">
    <w:name w:val="Balloon Text"/>
    <w:basedOn w:val="Normln"/>
    <w:semiHidden/>
    <w:rsid w:val="00CE379E"/>
    <w:rPr>
      <w:rFonts w:ascii="Tahoma" w:hAnsi="Tahoma" w:cs="Tahoma"/>
      <w:sz w:val="16"/>
      <w:szCs w:val="16"/>
    </w:rPr>
  </w:style>
  <w:style w:type="paragraph" w:styleId="Odstavecseseznamem">
    <w:name w:val="List Paragraph"/>
    <w:basedOn w:val="Normln"/>
    <w:uiPriority w:val="34"/>
    <w:qFormat/>
    <w:rsid w:val="00F4468E"/>
    <w:pPr>
      <w:ind w:left="708"/>
    </w:pPr>
  </w:style>
  <w:style w:type="character" w:styleId="Odkaznakoment">
    <w:name w:val="annotation reference"/>
    <w:basedOn w:val="Standardnpsmoodstavce"/>
    <w:uiPriority w:val="99"/>
    <w:semiHidden/>
    <w:unhideWhenUsed/>
    <w:rsid w:val="0098775B"/>
    <w:rPr>
      <w:sz w:val="16"/>
      <w:szCs w:val="16"/>
    </w:rPr>
  </w:style>
  <w:style w:type="paragraph" w:styleId="Textkomente">
    <w:name w:val="annotation text"/>
    <w:basedOn w:val="Normln"/>
    <w:link w:val="TextkomenteChar"/>
    <w:uiPriority w:val="99"/>
    <w:unhideWhenUsed/>
    <w:rsid w:val="0098775B"/>
  </w:style>
  <w:style w:type="character" w:customStyle="1" w:styleId="TextkomenteChar">
    <w:name w:val="Text komentáře Char"/>
    <w:basedOn w:val="Standardnpsmoodstavce"/>
    <w:link w:val="Textkomente"/>
    <w:uiPriority w:val="99"/>
    <w:rsid w:val="0098775B"/>
  </w:style>
  <w:style w:type="paragraph" w:styleId="Pedmtkomente">
    <w:name w:val="annotation subject"/>
    <w:basedOn w:val="Textkomente"/>
    <w:next w:val="Textkomente"/>
    <w:link w:val="PedmtkomenteChar"/>
    <w:uiPriority w:val="99"/>
    <w:semiHidden/>
    <w:unhideWhenUsed/>
    <w:rsid w:val="0098775B"/>
    <w:rPr>
      <w:b/>
      <w:bCs/>
    </w:rPr>
  </w:style>
  <w:style w:type="character" w:customStyle="1" w:styleId="PedmtkomenteChar">
    <w:name w:val="Předmět komentáře Char"/>
    <w:basedOn w:val="TextkomenteChar"/>
    <w:link w:val="Pedmtkomente"/>
    <w:uiPriority w:val="99"/>
    <w:semiHidden/>
    <w:rsid w:val="0098775B"/>
    <w:rPr>
      <w:b/>
      <w:bCs/>
    </w:rPr>
  </w:style>
  <w:style w:type="character" w:customStyle="1" w:styleId="TextodstavceCharCharCharChar">
    <w:name w:val="Text odstavce Char Char Char Char"/>
    <w:rsid w:val="00814519"/>
    <w:rPr>
      <w:sz w:val="24"/>
      <w:lang w:val="cs-CZ" w:eastAsia="cs-CZ" w:bidi="ar-SA"/>
    </w:rPr>
  </w:style>
  <w:style w:type="paragraph" w:customStyle="1" w:styleId="TableContents">
    <w:name w:val="Table Contents"/>
    <w:basedOn w:val="Normln"/>
    <w:rsid w:val="008E64E1"/>
    <w:pPr>
      <w:widowControl w:val="0"/>
      <w:suppressLineNumbers/>
      <w:suppressAutoHyphens/>
      <w:autoSpaceDN w:val="0"/>
      <w:textAlignment w:val="baseline"/>
    </w:pPr>
    <w:rPr>
      <w:rFonts w:eastAsia="Lucida Sans Unicode" w:cs="Tahoma"/>
      <w:kern w:val="3"/>
      <w:sz w:val="24"/>
      <w:szCs w:val="24"/>
      <w:lang w:eastAsia="zh-CN" w:bidi="hi-IN"/>
    </w:rPr>
  </w:style>
  <w:style w:type="paragraph" w:customStyle="1" w:styleId="Zkladntext311">
    <w:name w:val="Základní text 311"/>
    <w:basedOn w:val="Normln"/>
    <w:rsid w:val="002C59A4"/>
    <w:pPr>
      <w:suppressAutoHyphens/>
      <w:spacing w:after="120"/>
    </w:pPr>
    <w:rPr>
      <w:sz w:val="16"/>
      <w:szCs w:val="16"/>
      <w:lang w:eastAsia="ar-SA"/>
    </w:rPr>
  </w:style>
  <w:style w:type="paragraph" w:customStyle="1" w:styleId="Textbody">
    <w:name w:val="Text body"/>
    <w:basedOn w:val="Normln"/>
    <w:rsid w:val="008A7986"/>
    <w:pPr>
      <w:widowControl w:val="0"/>
      <w:suppressAutoHyphens/>
      <w:autoSpaceDN w:val="0"/>
      <w:spacing w:after="120"/>
      <w:textAlignment w:val="baseline"/>
    </w:pPr>
    <w:rPr>
      <w:rFonts w:eastAsia="Lucida Sans Unicode" w:cs="Tahoma"/>
      <w:kern w:val="3"/>
      <w:sz w:val="24"/>
      <w:szCs w:val="24"/>
      <w:lang w:eastAsia="zh-CN" w:bidi="hi-IN"/>
    </w:rPr>
  </w:style>
  <w:style w:type="paragraph" w:styleId="Revize">
    <w:name w:val="Revision"/>
    <w:hidden/>
    <w:uiPriority w:val="99"/>
    <w:semiHidden/>
    <w:rsid w:val="00D6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amka xmlns="22460258-ac32-4fc9-a781-b325de54994e">upraveno podle připomínek Zubohradu</Poznamka>
    <typinf xmlns="22460258-ac32-4fc9-a781-b325de54994e">8168</typin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9975956EDB8AC4DBD0A127F42A56472" ma:contentTypeVersion="2" ma:contentTypeDescription="Vytvoří nový dokument" ma:contentTypeScope="" ma:versionID="f2182f089ece34ef11f42f24d22afe6d">
  <xsd:schema xmlns:xsd="http://www.w3.org/2001/XMLSchema" xmlns:xs="http://www.w3.org/2001/XMLSchema" xmlns:p="http://schemas.microsoft.com/office/2006/metadata/properties" xmlns:ns2="22460258-ac32-4fc9-a781-b325de54994e" targetNamespace="http://schemas.microsoft.com/office/2006/metadata/properties" ma:root="true" ma:fieldsID="b2b90ad543e4e92edcb78cdd70abedaa" ns2:_="">
    <xsd:import namespace="22460258-ac32-4fc9-a781-b325de54994e"/>
    <xsd:element name="properties">
      <xsd:complexType>
        <xsd:sequence>
          <xsd:element name="documentManagement">
            <xsd:complexType>
              <xsd:all>
                <xsd:element ref="ns2:typinf" minOccurs="0"/>
                <xsd:element ref="ns2:Pozna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60258-ac32-4fc9-a781-b325de54994e" elementFormDefault="qualified">
    <xsd:import namespace="http://schemas.microsoft.com/office/2006/documentManagement/types"/>
    <xsd:import namespace="http://schemas.microsoft.com/office/infopath/2007/PartnerControls"/>
    <xsd:element name="typinf" ma:index="8" nillable="true" ma:displayName="Typinf" ma:internalName="typinf" ma:percentage="FALSE">
      <xsd:simpleType>
        <xsd:restriction base="dms:Number"/>
      </xsd:simpleType>
    </xsd:element>
    <xsd:element name="Poznamka" ma:index="9" nillable="true" ma:displayName="Poznámka" ma:internalName="Poznamk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30EAC-C44A-4421-A812-853F501C9546}">
  <ds:schemaRefs>
    <ds:schemaRef ds:uri="http://schemas.microsoft.com/sharepoint/v3/contenttype/forms"/>
  </ds:schemaRefs>
</ds:datastoreItem>
</file>

<file path=customXml/itemProps2.xml><?xml version="1.0" encoding="utf-8"?>
<ds:datastoreItem xmlns:ds="http://schemas.openxmlformats.org/officeDocument/2006/customXml" ds:itemID="{C921FF0C-8D9D-4BD6-B470-4686D6BBFFA6}">
  <ds:schemaRefs>
    <ds:schemaRef ds:uri="http://schemas.microsoft.com/office/2006/metadata/properties"/>
    <ds:schemaRef ds:uri="http://schemas.microsoft.com/office/infopath/2007/PartnerControls"/>
    <ds:schemaRef ds:uri="22460258-ac32-4fc9-a781-b325de54994e"/>
  </ds:schemaRefs>
</ds:datastoreItem>
</file>

<file path=customXml/itemProps3.xml><?xml version="1.0" encoding="utf-8"?>
<ds:datastoreItem xmlns:ds="http://schemas.openxmlformats.org/officeDocument/2006/customXml" ds:itemID="{54FD13C5-2BED-4537-9E9D-A5D9783C7978}">
  <ds:schemaRefs>
    <ds:schemaRef ds:uri="http://schemas.openxmlformats.org/officeDocument/2006/bibliography"/>
  </ds:schemaRefs>
</ds:datastoreItem>
</file>

<file path=customXml/itemProps4.xml><?xml version="1.0" encoding="utf-8"?>
<ds:datastoreItem xmlns:ds="http://schemas.openxmlformats.org/officeDocument/2006/customXml" ds:itemID="{A1799346-06E1-4E69-915A-A0506C9C1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60258-ac32-4fc9-a781-b325de549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2190</Words>
  <Characters>12926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ozp</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Iveta Haiserová</cp:lastModifiedBy>
  <cp:revision>2</cp:revision>
  <cp:lastPrinted>2022-01-12T13:08:00Z</cp:lastPrinted>
  <dcterms:created xsi:type="dcterms:W3CDTF">2022-01-27T08:33:00Z</dcterms:created>
  <dcterms:modified xsi:type="dcterms:W3CDTF">2022-01-27T08:33:00Z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0x010100F9975956EDB8AC4DBD0A127F42A56472</vt:lpwstr>
  </property>
</Properties>
</file>