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B4AC3" w14:textId="7A018BB7" w:rsidR="002A013C" w:rsidRPr="005C1B59" w:rsidRDefault="00747546" w:rsidP="00C30D21">
      <w:pPr>
        <w:spacing w:after="0" w:line="240" w:lineRule="auto"/>
        <w:jc w:val="both"/>
        <w:rPr>
          <w:rFonts w:ascii="Arial" w:hAnsi="Arial" w:cs="Arial"/>
          <w:b/>
          <w:bCs/>
          <w:sz w:val="32"/>
        </w:rPr>
      </w:pPr>
      <w:r w:rsidRPr="005C1B59">
        <w:rPr>
          <w:rFonts w:ascii="Arial" w:hAnsi="Arial" w:cs="Arial"/>
          <w:b/>
          <w:bCs/>
          <w:sz w:val="32"/>
        </w:rPr>
        <w:t>POC antigenní testování pacientů v ordinaci praktického zubního lékaře</w:t>
      </w:r>
      <w:r w:rsidR="00F36EBC">
        <w:rPr>
          <w:rFonts w:ascii="Arial" w:hAnsi="Arial" w:cs="Arial"/>
          <w:b/>
          <w:bCs/>
          <w:sz w:val="32"/>
        </w:rPr>
        <w:t xml:space="preserve"> – </w:t>
      </w:r>
      <w:r w:rsidR="00F36EBC" w:rsidRPr="00F36EBC">
        <w:rPr>
          <w:rFonts w:ascii="Arial" w:hAnsi="Arial" w:cs="Arial"/>
          <w:b/>
          <w:bCs/>
          <w:color w:val="FF0000"/>
          <w:sz w:val="32"/>
        </w:rPr>
        <w:t>aktualizace ze dne 15. prosince 2020</w:t>
      </w:r>
    </w:p>
    <w:p w14:paraId="6AEBED45" w14:textId="7C4F8631" w:rsidR="00747546" w:rsidRDefault="00747546" w:rsidP="00C30D21">
      <w:pPr>
        <w:spacing w:after="0" w:line="240" w:lineRule="auto"/>
        <w:jc w:val="both"/>
        <w:rPr>
          <w:rFonts w:ascii="Arial" w:hAnsi="Arial" w:cs="Arial"/>
        </w:rPr>
      </w:pPr>
    </w:p>
    <w:p w14:paraId="11DC0183" w14:textId="03561A8A" w:rsidR="00F36EBC" w:rsidRPr="00F36EBC" w:rsidRDefault="00F36EBC" w:rsidP="00C30D21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F36EBC">
        <w:rPr>
          <w:rFonts w:ascii="Arial" w:hAnsi="Arial" w:cs="Arial"/>
          <w:color w:val="FF0000"/>
        </w:rPr>
        <w:t xml:space="preserve">Aktualizované části textu jsou vyznačeny červeně. Jedná se o změnu počátečního data, od kterého lze antigenní testování vykazovat (nově od 16. prosince 2020), a dále o označení dokladu, na kterém se testování vykazuje (nově </w:t>
      </w:r>
      <w:r w:rsidR="00515A51">
        <w:rPr>
          <w:rFonts w:ascii="Arial" w:hAnsi="Arial" w:cs="Arial"/>
          <w:color w:val="FF0000"/>
        </w:rPr>
        <w:t xml:space="preserve">možno i </w:t>
      </w:r>
      <w:r w:rsidRPr="00F36EBC">
        <w:rPr>
          <w:rFonts w:ascii="Arial" w:hAnsi="Arial" w:cs="Arial"/>
          <w:color w:val="FF0000"/>
        </w:rPr>
        <w:t>na dokladu 01s).</w:t>
      </w:r>
      <w:r w:rsidR="00766FCD">
        <w:rPr>
          <w:rFonts w:ascii="Arial" w:hAnsi="Arial" w:cs="Arial"/>
          <w:color w:val="FF0000"/>
        </w:rPr>
        <w:t xml:space="preserve"> Doplněn byl též text o doporučených ochranných prostředcích, protože byla zveřejněna oficiální metodika.</w:t>
      </w:r>
    </w:p>
    <w:p w14:paraId="73450F16" w14:textId="3B60BF58" w:rsidR="00F36EBC" w:rsidRDefault="00F36EBC" w:rsidP="00C30D21">
      <w:pPr>
        <w:spacing w:after="0" w:line="240" w:lineRule="auto"/>
        <w:jc w:val="both"/>
        <w:rPr>
          <w:rFonts w:ascii="Arial" w:hAnsi="Arial" w:cs="Arial"/>
        </w:rPr>
      </w:pPr>
    </w:p>
    <w:p w14:paraId="7F3AEB45" w14:textId="77777777" w:rsidR="00690073" w:rsidRPr="005C1B59" w:rsidRDefault="00690073" w:rsidP="0069007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C1B59">
        <w:rPr>
          <w:rFonts w:ascii="Arial" w:hAnsi="Arial" w:cs="Arial"/>
          <w:sz w:val="21"/>
          <w:szCs w:val="21"/>
        </w:rPr>
        <w:t xml:space="preserve">Představenstvo Komory přijalo dne 11. prosince 2020 toto usnesení: </w:t>
      </w:r>
    </w:p>
    <w:p w14:paraId="0C366534" w14:textId="122A6394" w:rsidR="00690073" w:rsidRPr="005C1B59" w:rsidRDefault="00690073" w:rsidP="00690073">
      <w:pPr>
        <w:spacing w:after="0" w:line="240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5C1B59">
        <w:rPr>
          <w:rFonts w:ascii="Arial" w:hAnsi="Arial" w:cs="Arial"/>
          <w:i/>
          <w:iCs/>
          <w:sz w:val="21"/>
          <w:szCs w:val="21"/>
        </w:rPr>
        <w:t>V ČR na základě mimořádného opatření ministerstva zdravotnictví probíhá plošné antigenní testování. ČSK zprostředkuje svým členům informace o organizaci a možnosti zapojení se do systému antigenního testování. Účast v systému antigenního testování je dobrovolná a je na rozhodnutí každého poskytovatele zdravotních služeb v oboru zubní lékařství, zda se zapojí či nikoliv. (PRO: 13, PROTI: 1)</w:t>
      </w:r>
    </w:p>
    <w:p w14:paraId="6889361C" w14:textId="59F09DFE" w:rsidR="00690073" w:rsidRPr="005C1B59" w:rsidRDefault="00690073" w:rsidP="00C30D2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474C22A" w14:textId="77777777" w:rsidR="00091A8F" w:rsidRDefault="00747546" w:rsidP="00C30D2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C1B59">
        <w:rPr>
          <w:rFonts w:ascii="Arial" w:hAnsi="Arial" w:cs="Arial"/>
          <w:sz w:val="21"/>
          <w:szCs w:val="21"/>
        </w:rPr>
        <w:t xml:space="preserve">Všeobecná zdravotní pojišťovna ČR zveřejnila dne </w:t>
      </w:r>
      <w:r w:rsidRPr="00F36EBC">
        <w:rPr>
          <w:rFonts w:ascii="Arial" w:hAnsi="Arial" w:cs="Arial"/>
          <w:b/>
          <w:bCs/>
          <w:color w:val="FF0000"/>
          <w:sz w:val="21"/>
          <w:szCs w:val="21"/>
        </w:rPr>
        <w:t>1</w:t>
      </w:r>
      <w:r w:rsidR="00F36EBC" w:rsidRPr="00F36EBC">
        <w:rPr>
          <w:rFonts w:ascii="Arial" w:hAnsi="Arial" w:cs="Arial"/>
          <w:b/>
          <w:bCs/>
          <w:color w:val="FF0000"/>
          <w:sz w:val="21"/>
          <w:szCs w:val="21"/>
        </w:rPr>
        <w:t>5</w:t>
      </w:r>
      <w:r w:rsidRPr="00F36EBC">
        <w:rPr>
          <w:rFonts w:ascii="Arial" w:hAnsi="Arial" w:cs="Arial"/>
          <w:b/>
          <w:bCs/>
          <w:color w:val="FF0000"/>
          <w:sz w:val="21"/>
          <w:szCs w:val="21"/>
        </w:rPr>
        <w:t xml:space="preserve">. prosince 2020 </w:t>
      </w:r>
      <w:r w:rsidR="00F36EBC" w:rsidRPr="00F36EBC">
        <w:rPr>
          <w:rFonts w:ascii="Arial" w:hAnsi="Arial" w:cs="Arial"/>
          <w:b/>
          <w:bCs/>
          <w:color w:val="FF0000"/>
          <w:sz w:val="21"/>
          <w:szCs w:val="21"/>
        </w:rPr>
        <w:t>aktualizované</w:t>
      </w:r>
      <w:r w:rsidR="00F36EBC" w:rsidRPr="00F36EBC">
        <w:rPr>
          <w:rFonts w:ascii="Arial" w:hAnsi="Arial" w:cs="Arial"/>
          <w:color w:val="FF0000"/>
          <w:sz w:val="21"/>
          <w:szCs w:val="21"/>
        </w:rPr>
        <w:t xml:space="preserve"> </w:t>
      </w:r>
      <w:r w:rsidRPr="005C1B59">
        <w:rPr>
          <w:rFonts w:ascii="Arial" w:hAnsi="Arial" w:cs="Arial"/>
          <w:sz w:val="21"/>
          <w:szCs w:val="21"/>
        </w:rPr>
        <w:t>organizační opatření č. 54/2020 týkající se plošného testování prostřednictvím POC antigenních testů. Toto organizační opatření je přístupné zde</w:t>
      </w:r>
      <w:r w:rsidR="00091A8F">
        <w:rPr>
          <w:rFonts w:ascii="Arial" w:hAnsi="Arial" w:cs="Arial"/>
          <w:sz w:val="21"/>
          <w:szCs w:val="21"/>
        </w:rPr>
        <w:t>:</w:t>
      </w:r>
    </w:p>
    <w:p w14:paraId="58C41EFF" w14:textId="77777777" w:rsidR="00091A8F" w:rsidRDefault="00766FCD" w:rsidP="00C30D2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hyperlink r:id="rId5" w:history="1">
        <w:r w:rsidR="00F36EBC" w:rsidRPr="008D3724">
          <w:rPr>
            <w:rStyle w:val="Hypertextovodkaz"/>
            <w:rFonts w:ascii="Arial" w:hAnsi="Arial" w:cs="Arial"/>
            <w:sz w:val="21"/>
            <w:szCs w:val="21"/>
          </w:rPr>
          <w:t>https://media.vzpstatic.cz/media/Default/dokumenty/organizacni-opatreni_54_2020-celoplosne-ag-testovani-aktualizace.pdf</w:t>
        </w:r>
      </w:hyperlink>
      <w:r w:rsidR="00747546" w:rsidRPr="005C1B59">
        <w:rPr>
          <w:rFonts w:ascii="Arial" w:hAnsi="Arial" w:cs="Arial"/>
          <w:sz w:val="21"/>
          <w:szCs w:val="21"/>
        </w:rPr>
        <w:t>. Mimořádné opatření ministerstva zdravotnictví, na které citované opatření navazuje, lze nalézt zde</w:t>
      </w:r>
      <w:r w:rsidR="00091A8F">
        <w:rPr>
          <w:rFonts w:ascii="Arial" w:hAnsi="Arial" w:cs="Arial"/>
          <w:sz w:val="21"/>
          <w:szCs w:val="21"/>
        </w:rPr>
        <w:t>:</w:t>
      </w:r>
    </w:p>
    <w:p w14:paraId="5BE8CD4D" w14:textId="76E5F26D" w:rsidR="00747546" w:rsidRPr="005C1B59" w:rsidRDefault="00766FCD" w:rsidP="00C30D2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hyperlink r:id="rId6" w:history="1">
        <w:r w:rsidR="00F36EBC" w:rsidRPr="008D3724">
          <w:rPr>
            <w:rStyle w:val="Hypertextovodkaz"/>
            <w:rFonts w:ascii="Arial" w:hAnsi="Arial" w:cs="Arial"/>
            <w:sz w:val="21"/>
            <w:szCs w:val="21"/>
          </w:rPr>
          <w:t>https://koronavirus.mzcr.cz/wp-content/uploads/2020/12/Mimoradne-opatreni-antigenni-testovani-obyvatel-s-ucinnosti-od-16-12-2020-do-15-1-2021.pdf</w:t>
        </w:r>
      </w:hyperlink>
      <w:r w:rsidR="00747546" w:rsidRPr="005C1B59">
        <w:rPr>
          <w:rFonts w:ascii="Arial" w:hAnsi="Arial" w:cs="Arial"/>
          <w:sz w:val="21"/>
          <w:szCs w:val="21"/>
        </w:rPr>
        <w:t>.</w:t>
      </w:r>
    </w:p>
    <w:p w14:paraId="4CA107D6" w14:textId="0FEC241C" w:rsidR="00747546" w:rsidRPr="005C1B59" w:rsidRDefault="00747546" w:rsidP="00C30D2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6DE2555" w14:textId="22CD2BC9" w:rsidR="009D69BD" w:rsidRPr="005C1B59" w:rsidRDefault="00747546" w:rsidP="00C30D2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C1B59">
        <w:rPr>
          <w:rFonts w:ascii="Arial" w:hAnsi="Arial" w:cs="Arial"/>
          <w:sz w:val="21"/>
          <w:szCs w:val="21"/>
        </w:rPr>
        <w:t xml:space="preserve">Z materiálů a dalších dostupných informací </w:t>
      </w:r>
      <w:r w:rsidR="00726A5D" w:rsidRPr="005C1B59">
        <w:rPr>
          <w:rFonts w:ascii="Arial" w:hAnsi="Arial" w:cs="Arial"/>
          <w:sz w:val="21"/>
          <w:szCs w:val="21"/>
        </w:rPr>
        <w:t xml:space="preserve">vyplývá těchto 10 </w:t>
      </w:r>
      <w:r w:rsidRPr="005C1B59">
        <w:rPr>
          <w:rFonts w:ascii="Arial" w:hAnsi="Arial" w:cs="Arial"/>
          <w:sz w:val="21"/>
          <w:szCs w:val="21"/>
        </w:rPr>
        <w:t>nejdůležitější</w:t>
      </w:r>
      <w:r w:rsidR="00726A5D" w:rsidRPr="005C1B59">
        <w:rPr>
          <w:rFonts w:ascii="Arial" w:hAnsi="Arial" w:cs="Arial"/>
          <w:sz w:val="21"/>
          <w:szCs w:val="21"/>
        </w:rPr>
        <w:t>ch pravidel</w:t>
      </w:r>
      <w:r w:rsidR="009D69BD" w:rsidRPr="005C1B59">
        <w:rPr>
          <w:rFonts w:ascii="Arial" w:hAnsi="Arial" w:cs="Arial"/>
          <w:sz w:val="21"/>
          <w:szCs w:val="21"/>
        </w:rPr>
        <w:t>:</w:t>
      </w:r>
    </w:p>
    <w:p w14:paraId="5CCAD9AD" w14:textId="77777777" w:rsidR="009D69BD" w:rsidRPr="005C1B59" w:rsidRDefault="009D69BD" w:rsidP="00C30D2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131F3E0" w14:textId="1E09B8EE" w:rsidR="00747546" w:rsidRPr="005C1B59" w:rsidRDefault="009D69BD" w:rsidP="00C30D2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C1B59">
        <w:rPr>
          <w:rFonts w:ascii="Arial" w:hAnsi="Arial" w:cs="Arial"/>
          <w:sz w:val="21"/>
          <w:szCs w:val="21"/>
        </w:rPr>
        <w:t xml:space="preserve">POC antigenní testy budou hrazeny </w:t>
      </w:r>
      <w:r w:rsidR="002D203D" w:rsidRPr="005C1B59">
        <w:rPr>
          <w:rFonts w:ascii="Arial" w:hAnsi="Arial" w:cs="Arial"/>
          <w:sz w:val="21"/>
          <w:szCs w:val="21"/>
        </w:rPr>
        <w:t>z veřejného zdravotního pojištění i</w:t>
      </w:r>
      <w:r w:rsidRPr="005C1B59">
        <w:rPr>
          <w:rFonts w:ascii="Arial" w:hAnsi="Arial" w:cs="Arial"/>
          <w:sz w:val="21"/>
          <w:szCs w:val="21"/>
        </w:rPr>
        <w:t xml:space="preserve"> poskytovatelům zdravotních služeb v oboru zubní lékařství, a to jak smluvním, tak nesmluvním</w:t>
      </w:r>
      <w:r w:rsidR="00726A5D" w:rsidRPr="005C1B59">
        <w:rPr>
          <w:rFonts w:ascii="Arial" w:hAnsi="Arial" w:cs="Arial"/>
          <w:sz w:val="21"/>
          <w:szCs w:val="21"/>
        </w:rPr>
        <w:t xml:space="preserve">, v období od </w:t>
      </w:r>
      <w:r w:rsidR="00F36EBC" w:rsidRPr="00F36EBC">
        <w:rPr>
          <w:rFonts w:ascii="Arial" w:hAnsi="Arial" w:cs="Arial"/>
          <w:b/>
          <w:bCs/>
          <w:color w:val="FF0000"/>
          <w:sz w:val="21"/>
          <w:szCs w:val="21"/>
        </w:rPr>
        <w:t>16</w:t>
      </w:r>
      <w:r w:rsidR="00726A5D" w:rsidRPr="00F36EBC">
        <w:rPr>
          <w:rFonts w:ascii="Arial" w:hAnsi="Arial" w:cs="Arial"/>
          <w:b/>
          <w:bCs/>
          <w:color w:val="FF0000"/>
          <w:sz w:val="21"/>
          <w:szCs w:val="21"/>
        </w:rPr>
        <w:t>. prosince 2020</w:t>
      </w:r>
      <w:r w:rsidR="00726A5D" w:rsidRPr="005C1B59">
        <w:rPr>
          <w:rFonts w:ascii="Arial" w:hAnsi="Arial" w:cs="Arial"/>
          <w:sz w:val="21"/>
          <w:szCs w:val="21"/>
        </w:rPr>
        <w:t xml:space="preserve"> do 15. ledna 2021;</w:t>
      </w:r>
    </w:p>
    <w:p w14:paraId="112E85D8" w14:textId="77777777" w:rsidR="00C30D21" w:rsidRPr="005C1B59" w:rsidRDefault="00C30D21" w:rsidP="00C30D21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1"/>
          <w:szCs w:val="21"/>
        </w:rPr>
      </w:pPr>
    </w:p>
    <w:p w14:paraId="5930B160" w14:textId="5C6E5E8F" w:rsidR="009D69BD" w:rsidRPr="005C1B59" w:rsidRDefault="009D69BD" w:rsidP="00C30D2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C1B59">
        <w:rPr>
          <w:rFonts w:ascii="Arial" w:hAnsi="Arial" w:cs="Arial"/>
          <w:sz w:val="21"/>
          <w:szCs w:val="21"/>
        </w:rPr>
        <w:t xml:space="preserve">podmínkou vykazování je </w:t>
      </w:r>
    </w:p>
    <w:p w14:paraId="6DEA2439" w14:textId="4A48F53E" w:rsidR="009D69BD" w:rsidRPr="005C1B59" w:rsidRDefault="004279F0" w:rsidP="00C30D2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C1B59">
        <w:rPr>
          <w:rFonts w:ascii="Arial" w:hAnsi="Arial" w:cs="Arial"/>
          <w:sz w:val="21"/>
          <w:szCs w:val="21"/>
        </w:rPr>
        <w:t>napojení na elektronické nástroje Chytré karantény pod správou Ministerstva zdravotnictví ČR (ISIN) a pln</w:t>
      </w:r>
      <w:r w:rsidR="00B157F6" w:rsidRPr="005C1B59">
        <w:rPr>
          <w:rFonts w:ascii="Arial" w:hAnsi="Arial" w:cs="Arial"/>
          <w:sz w:val="21"/>
          <w:szCs w:val="21"/>
        </w:rPr>
        <w:t>ěn</w:t>
      </w:r>
      <w:r w:rsidRPr="005C1B59">
        <w:rPr>
          <w:rFonts w:ascii="Arial" w:hAnsi="Arial" w:cs="Arial"/>
          <w:sz w:val="21"/>
          <w:szCs w:val="21"/>
        </w:rPr>
        <w:t>í</w:t>
      </w:r>
      <w:r w:rsidR="00DC1113" w:rsidRPr="005C1B59">
        <w:rPr>
          <w:rFonts w:ascii="Arial" w:hAnsi="Arial" w:cs="Arial"/>
          <w:sz w:val="21"/>
          <w:szCs w:val="21"/>
        </w:rPr>
        <w:t xml:space="preserve"> </w:t>
      </w:r>
      <w:r w:rsidRPr="005C1B59">
        <w:rPr>
          <w:rFonts w:ascii="Arial" w:hAnsi="Arial" w:cs="Arial"/>
          <w:sz w:val="21"/>
          <w:szCs w:val="21"/>
        </w:rPr>
        <w:t>všech povinn</w:t>
      </w:r>
      <w:r w:rsidR="00B157F6" w:rsidRPr="005C1B59">
        <w:rPr>
          <w:rFonts w:ascii="Arial" w:hAnsi="Arial" w:cs="Arial"/>
          <w:sz w:val="21"/>
          <w:szCs w:val="21"/>
        </w:rPr>
        <w:t>ých</w:t>
      </w:r>
      <w:r w:rsidRPr="005C1B59">
        <w:rPr>
          <w:rFonts w:ascii="Arial" w:hAnsi="Arial" w:cs="Arial"/>
          <w:sz w:val="21"/>
          <w:szCs w:val="21"/>
        </w:rPr>
        <w:t xml:space="preserve"> a jednotn</w:t>
      </w:r>
      <w:r w:rsidR="00B157F6" w:rsidRPr="005C1B59">
        <w:rPr>
          <w:rFonts w:ascii="Arial" w:hAnsi="Arial" w:cs="Arial"/>
          <w:sz w:val="21"/>
          <w:szCs w:val="21"/>
        </w:rPr>
        <w:t>ých</w:t>
      </w:r>
      <w:r w:rsidR="00DC1113" w:rsidRPr="005C1B59">
        <w:rPr>
          <w:rFonts w:ascii="Arial" w:hAnsi="Arial" w:cs="Arial"/>
          <w:sz w:val="21"/>
          <w:szCs w:val="21"/>
        </w:rPr>
        <w:t xml:space="preserve"> </w:t>
      </w:r>
      <w:r w:rsidRPr="005C1B59">
        <w:rPr>
          <w:rFonts w:ascii="Arial" w:hAnsi="Arial" w:cs="Arial"/>
          <w:sz w:val="21"/>
          <w:szCs w:val="21"/>
        </w:rPr>
        <w:t>hlášení</w:t>
      </w:r>
      <w:r w:rsidR="00DC1113" w:rsidRPr="005C1B59">
        <w:rPr>
          <w:rFonts w:ascii="Arial" w:hAnsi="Arial" w:cs="Arial"/>
          <w:sz w:val="21"/>
          <w:szCs w:val="21"/>
        </w:rPr>
        <w:t>,</w:t>
      </w:r>
    </w:p>
    <w:p w14:paraId="7F6CA981" w14:textId="34157851" w:rsidR="00DC1113" w:rsidRPr="005C1B59" w:rsidRDefault="00DC1113" w:rsidP="00C30D2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C1B59">
        <w:rPr>
          <w:rFonts w:ascii="Arial" w:hAnsi="Arial" w:cs="Arial"/>
          <w:sz w:val="21"/>
          <w:szCs w:val="21"/>
        </w:rPr>
        <w:t>provádění testování zdravotnickým pracovníkem</w:t>
      </w:r>
      <w:r w:rsidR="00726A5D" w:rsidRPr="005C1B59">
        <w:rPr>
          <w:rFonts w:ascii="Arial" w:hAnsi="Arial" w:cs="Arial"/>
          <w:sz w:val="21"/>
          <w:szCs w:val="21"/>
        </w:rPr>
        <w:t>;</w:t>
      </w:r>
    </w:p>
    <w:p w14:paraId="6CC57CB1" w14:textId="77777777" w:rsidR="00C30D21" w:rsidRPr="005C1B59" w:rsidRDefault="00C30D21" w:rsidP="00C30D21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1"/>
          <w:szCs w:val="21"/>
        </w:rPr>
      </w:pPr>
    </w:p>
    <w:p w14:paraId="5756CF72" w14:textId="36B57B0A" w:rsidR="00E338F1" w:rsidRPr="005C1B59" w:rsidRDefault="00E338F1" w:rsidP="00C30D2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C1B59">
        <w:rPr>
          <w:rFonts w:ascii="Arial" w:hAnsi="Arial" w:cs="Arial"/>
          <w:sz w:val="21"/>
          <w:szCs w:val="21"/>
        </w:rPr>
        <w:t>smluvní poskytovatel nemusí před zahájením testování nic ohlašovat</w:t>
      </w:r>
      <w:r w:rsidR="00726A5D" w:rsidRPr="005C1B59">
        <w:rPr>
          <w:rFonts w:ascii="Arial" w:hAnsi="Arial" w:cs="Arial"/>
          <w:sz w:val="21"/>
          <w:szCs w:val="21"/>
        </w:rPr>
        <w:t>;</w:t>
      </w:r>
    </w:p>
    <w:p w14:paraId="7A235417" w14:textId="77777777" w:rsidR="00C30D21" w:rsidRPr="005C1B59" w:rsidRDefault="00C30D21" w:rsidP="00C30D21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1"/>
          <w:szCs w:val="21"/>
        </w:rPr>
      </w:pPr>
    </w:p>
    <w:p w14:paraId="427F9064" w14:textId="6B3E10A3" w:rsidR="00E338F1" w:rsidRPr="005C1B59" w:rsidRDefault="00E338F1" w:rsidP="00C30D2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C1B59">
        <w:rPr>
          <w:rFonts w:ascii="Arial" w:hAnsi="Arial" w:cs="Arial"/>
          <w:sz w:val="21"/>
          <w:szCs w:val="21"/>
        </w:rPr>
        <w:t xml:space="preserve">poskytovatel, který nemá smlouvu </w:t>
      </w:r>
      <w:r w:rsidR="00C30D21" w:rsidRPr="005C1B59">
        <w:rPr>
          <w:rFonts w:ascii="Arial" w:hAnsi="Arial" w:cs="Arial"/>
          <w:sz w:val="21"/>
          <w:szCs w:val="21"/>
        </w:rPr>
        <w:t xml:space="preserve">s </w:t>
      </w:r>
      <w:r w:rsidRPr="005C1B59">
        <w:rPr>
          <w:rFonts w:ascii="Arial" w:hAnsi="Arial" w:cs="Arial"/>
          <w:sz w:val="21"/>
          <w:szCs w:val="21"/>
        </w:rPr>
        <w:t xml:space="preserve">žádnou zdravotní pojišťovnou, musí </w:t>
      </w:r>
      <w:r w:rsidR="00C30D21" w:rsidRPr="005C1B59">
        <w:rPr>
          <w:rFonts w:ascii="Arial" w:hAnsi="Arial" w:cs="Arial"/>
          <w:sz w:val="21"/>
          <w:szCs w:val="21"/>
        </w:rPr>
        <w:t xml:space="preserve">před zahájením vykazování </w:t>
      </w:r>
      <w:r w:rsidRPr="005C1B59">
        <w:rPr>
          <w:rFonts w:ascii="Arial" w:hAnsi="Arial" w:cs="Arial"/>
          <w:sz w:val="21"/>
          <w:szCs w:val="21"/>
        </w:rPr>
        <w:t xml:space="preserve">požádat </w:t>
      </w:r>
      <w:r w:rsidR="00C30D21" w:rsidRPr="005C1B59">
        <w:rPr>
          <w:rFonts w:ascii="Arial" w:hAnsi="Arial" w:cs="Arial"/>
          <w:sz w:val="21"/>
          <w:szCs w:val="21"/>
        </w:rPr>
        <w:t>VZP ČR o</w:t>
      </w:r>
      <w:r w:rsidRPr="005C1B59">
        <w:rPr>
          <w:rFonts w:ascii="Arial" w:hAnsi="Arial" w:cs="Arial"/>
          <w:sz w:val="21"/>
          <w:szCs w:val="21"/>
        </w:rPr>
        <w:t xml:space="preserve"> přidělení IČZ na e-mailové adrese  </w:t>
      </w:r>
      <w:hyperlink r:id="rId7" w:history="1">
        <w:r w:rsidRPr="005C1B59">
          <w:rPr>
            <w:rStyle w:val="Hypertextovodkaz"/>
            <w:rFonts w:ascii="Arial" w:hAnsi="Arial" w:cs="Arial"/>
            <w:sz w:val="21"/>
            <w:szCs w:val="21"/>
          </w:rPr>
          <w:t>testovani_covid@vzp.cz</w:t>
        </w:r>
      </w:hyperlink>
      <w:r w:rsidRPr="005C1B59">
        <w:rPr>
          <w:rFonts w:ascii="Arial" w:hAnsi="Arial" w:cs="Arial"/>
          <w:sz w:val="21"/>
          <w:szCs w:val="21"/>
        </w:rPr>
        <w:t>; v předmětu e-mailu je třeba uvést IČO a jméno poskytovatele (u obchodních společností, např. společností s ručením omezeným, se uvádí obchodní firma)</w:t>
      </w:r>
      <w:r w:rsidR="00726A5D" w:rsidRPr="005C1B59">
        <w:rPr>
          <w:rFonts w:ascii="Arial" w:hAnsi="Arial" w:cs="Arial"/>
          <w:sz w:val="21"/>
          <w:szCs w:val="21"/>
        </w:rPr>
        <w:t>;</w:t>
      </w:r>
    </w:p>
    <w:p w14:paraId="2BE59715" w14:textId="77777777" w:rsidR="00C30D21" w:rsidRPr="005C1B59" w:rsidRDefault="00C30D21" w:rsidP="00C30D21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1"/>
          <w:szCs w:val="21"/>
        </w:rPr>
      </w:pPr>
    </w:p>
    <w:p w14:paraId="26C55BFD" w14:textId="47112D88" w:rsidR="00E338F1" w:rsidRPr="005C1B59" w:rsidRDefault="00E338F1" w:rsidP="00C30D2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C1B59">
        <w:rPr>
          <w:rFonts w:ascii="Arial" w:hAnsi="Arial" w:cs="Arial"/>
          <w:sz w:val="21"/>
          <w:szCs w:val="21"/>
        </w:rPr>
        <w:t xml:space="preserve">smlouva </w:t>
      </w:r>
      <w:r w:rsidR="00C30D21" w:rsidRPr="005C1B59">
        <w:rPr>
          <w:rFonts w:ascii="Arial" w:hAnsi="Arial" w:cs="Arial"/>
          <w:sz w:val="21"/>
          <w:szCs w:val="21"/>
        </w:rPr>
        <w:t xml:space="preserve">se zdravotní pojišťovnou </w:t>
      </w:r>
      <w:r w:rsidRPr="005C1B59">
        <w:rPr>
          <w:rFonts w:ascii="Arial" w:hAnsi="Arial" w:cs="Arial"/>
          <w:sz w:val="21"/>
          <w:szCs w:val="21"/>
        </w:rPr>
        <w:t>(příloha č. 2) se nemění</w:t>
      </w:r>
      <w:r w:rsidR="00726A5D" w:rsidRPr="005C1B59">
        <w:rPr>
          <w:rFonts w:ascii="Arial" w:hAnsi="Arial" w:cs="Arial"/>
          <w:sz w:val="21"/>
          <w:szCs w:val="21"/>
        </w:rPr>
        <w:t>;</w:t>
      </w:r>
    </w:p>
    <w:p w14:paraId="6C5C8F3E" w14:textId="77777777" w:rsidR="00C30D21" w:rsidRPr="005C1B59" w:rsidRDefault="00C30D21" w:rsidP="00C30D21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1"/>
          <w:szCs w:val="21"/>
        </w:rPr>
      </w:pPr>
    </w:p>
    <w:p w14:paraId="4E836D5A" w14:textId="55A32777" w:rsidR="004203EA" w:rsidRPr="005C1B59" w:rsidRDefault="004203EA" w:rsidP="004203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C1B59">
        <w:rPr>
          <w:rFonts w:ascii="Arial" w:hAnsi="Arial" w:cs="Arial"/>
          <w:sz w:val="21"/>
          <w:szCs w:val="21"/>
        </w:rPr>
        <w:t>frekvenční omezení u jednoho pojištěnce je 1x za 5 dní, úhrada činí 350,72 K</w:t>
      </w:r>
      <w:r w:rsidR="00726A5D" w:rsidRPr="005C1B59">
        <w:rPr>
          <w:rFonts w:ascii="Arial" w:hAnsi="Arial" w:cs="Arial"/>
          <w:sz w:val="21"/>
          <w:szCs w:val="21"/>
        </w:rPr>
        <w:t>č;</w:t>
      </w:r>
    </w:p>
    <w:p w14:paraId="155DE769" w14:textId="77777777" w:rsidR="004203EA" w:rsidRPr="005C1B59" w:rsidRDefault="004203EA" w:rsidP="004203EA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1"/>
          <w:szCs w:val="21"/>
        </w:rPr>
      </w:pPr>
    </w:p>
    <w:p w14:paraId="5B9404DE" w14:textId="5B9B9FD5" w:rsidR="00C30D21" w:rsidRPr="005C1B59" w:rsidRDefault="00E338F1" w:rsidP="00C30D2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C1B59">
        <w:rPr>
          <w:rFonts w:ascii="Arial" w:hAnsi="Arial" w:cs="Arial"/>
          <w:sz w:val="21"/>
          <w:szCs w:val="21"/>
        </w:rPr>
        <w:t xml:space="preserve">testování se vykazuje kódem 99949 na dokladu </w:t>
      </w:r>
      <w:r w:rsidR="00F36EBC" w:rsidRPr="00F36EBC">
        <w:rPr>
          <w:rFonts w:ascii="Arial" w:hAnsi="Arial" w:cs="Arial"/>
          <w:b/>
          <w:bCs/>
          <w:color w:val="FF0000"/>
          <w:sz w:val="21"/>
          <w:szCs w:val="21"/>
        </w:rPr>
        <w:t>01s</w:t>
      </w:r>
      <w:r w:rsidR="00F36EBC">
        <w:rPr>
          <w:rFonts w:ascii="Arial" w:hAnsi="Arial" w:cs="Arial"/>
          <w:sz w:val="21"/>
          <w:szCs w:val="21"/>
        </w:rPr>
        <w:t xml:space="preserve"> </w:t>
      </w:r>
      <w:r w:rsidRPr="005C1B59">
        <w:rPr>
          <w:rFonts w:ascii="Arial" w:hAnsi="Arial" w:cs="Arial"/>
          <w:sz w:val="21"/>
          <w:szCs w:val="21"/>
        </w:rPr>
        <w:t xml:space="preserve">s diagnózou Z11.5 – Screeningové vyšetření specializované na jiné virové nemoci, </w:t>
      </w:r>
      <w:r w:rsidR="004203EA" w:rsidRPr="005C1B59">
        <w:rPr>
          <w:rFonts w:ascii="Arial" w:hAnsi="Arial" w:cs="Arial"/>
          <w:sz w:val="21"/>
          <w:szCs w:val="21"/>
        </w:rPr>
        <w:t>kód se vykazuje samostatnou dávkou. U poskytovatelů s více IČP se kód vykazuje pod jedním z</w:t>
      </w:r>
      <w:r w:rsidR="002D203D" w:rsidRPr="005C1B59">
        <w:rPr>
          <w:rFonts w:ascii="Arial" w:hAnsi="Arial" w:cs="Arial"/>
          <w:sz w:val="21"/>
          <w:szCs w:val="21"/>
        </w:rPr>
        <w:t> </w:t>
      </w:r>
      <w:r w:rsidR="004203EA" w:rsidRPr="005C1B59">
        <w:rPr>
          <w:rFonts w:ascii="Arial" w:hAnsi="Arial" w:cs="Arial"/>
          <w:sz w:val="21"/>
          <w:szCs w:val="21"/>
        </w:rPr>
        <w:t>nich</w:t>
      </w:r>
      <w:r w:rsidR="002D203D" w:rsidRPr="005C1B59">
        <w:rPr>
          <w:rFonts w:ascii="Arial" w:hAnsi="Arial" w:cs="Arial"/>
          <w:sz w:val="21"/>
          <w:szCs w:val="21"/>
        </w:rPr>
        <w:t>;</w:t>
      </w:r>
    </w:p>
    <w:p w14:paraId="5B1D8B65" w14:textId="77777777" w:rsidR="004203EA" w:rsidRPr="005C1B59" w:rsidRDefault="004203EA" w:rsidP="004203EA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1"/>
          <w:szCs w:val="21"/>
        </w:rPr>
      </w:pPr>
    </w:p>
    <w:p w14:paraId="6F8BDB1A" w14:textId="35F037A8" w:rsidR="00C30D21" w:rsidRPr="005C1B59" w:rsidRDefault="00B318EB" w:rsidP="00C30D2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C1B59">
        <w:rPr>
          <w:rFonts w:ascii="Arial" w:hAnsi="Arial" w:cs="Arial"/>
          <w:sz w:val="21"/>
          <w:szCs w:val="21"/>
        </w:rPr>
        <w:t xml:space="preserve">hrazeno bude použití POC antigenních testů s CE IVD certifikací a současně deklarovanou citlivostí nejméně 90 % a specificitou nejméně 97 %; </w:t>
      </w:r>
    </w:p>
    <w:p w14:paraId="7DCD3396" w14:textId="77777777" w:rsidR="00C30D21" w:rsidRPr="005C1B59" w:rsidRDefault="00C30D21" w:rsidP="00C30D2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E193847" w14:textId="07C405BF" w:rsidR="00B318EB" w:rsidRPr="005C1B59" w:rsidRDefault="00C30D21" w:rsidP="00C30D2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C1B59">
        <w:rPr>
          <w:rFonts w:ascii="Arial" w:hAnsi="Arial" w:cs="Arial"/>
          <w:sz w:val="21"/>
          <w:szCs w:val="21"/>
        </w:rPr>
        <w:t xml:space="preserve">dodání testovacích sad si obstarávají poskytovatelé sami na vlastní náklady, </w:t>
      </w:r>
      <w:r w:rsidR="00B318EB" w:rsidRPr="005C1B59">
        <w:rPr>
          <w:rFonts w:ascii="Arial" w:hAnsi="Arial" w:cs="Arial"/>
          <w:sz w:val="21"/>
          <w:szCs w:val="21"/>
        </w:rPr>
        <w:t>doklady o nákupu a o použití testovacích sad je nutno archivovat</w:t>
      </w:r>
      <w:r w:rsidR="00726A5D" w:rsidRPr="005C1B59">
        <w:rPr>
          <w:rFonts w:ascii="Arial" w:hAnsi="Arial" w:cs="Arial"/>
          <w:sz w:val="21"/>
          <w:szCs w:val="21"/>
        </w:rPr>
        <w:t>;</w:t>
      </w:r>
    </w:p>
    <w:p w14:paraId="03AC9995" w14:textId="77777777" w:rsidR="00C30D21" w:rsidRPr="005C1B59" w:rsidRDefault="00C30D21" w:rsidP="00C30D21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1"/>
          <w:szCs w:val="21"/>
        </w:rPr>
      </w:pPr>
    </w:p>
    <w:p w14:paraId="0E43D2BA" w14:textId="28C0272B" w:rsidR="00E338F1" w:rsidRPr="005C1B59" w:rsidRDefault="00E338F1" w:rsidP="002D203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C1B59">
        <w:rPr>
          <w:rFonts w:ascii="Arial" w:hAnsi="Arial" w:cs="Arial"/>
          <w:sz w:val="21"/>
          <w:szCs w:val="21"/>
        </w:rPr>
        <w:lastRenderedPageBreak/>
        <w:t>zapojení poskytovatelů v oboru zubní lékařství není povinné</w:t>
      </w:r>
      <w:r w:rsidR="002D203D" w:rsidRPr="005C1B59">
        <w:rPr>
          <w:rFonts w:ascii="Arial" w:hAnsi="Arial" w:cs="Arial"/>
          <w:sz w:val="21"/>
          <w:szCs w:val="21"/>
        </w:rPr>
        <w:t>.</w:t>
      </w:r>
      <w:r w:rsidRPr="005C1B59">
        <w:rPr>
          <w:rFonts w:ascii="Arial" w:hAnsi="Arial" w:cs="Arial"/>
          <w:sz w:val="21"/>
          <w:szCs w:val="21"/>
        </w:rPr>
        <w:t xml:space="preserve"> </w:t>
      </w:r>
    </w:p>
    <w:p w14:paraId="186AC886" w14:textId="7B86CE90" w:rsidR="00DC1113" w:rsidRPr="005C1B59" w:rsidRDefault="00AD5464" w:rsidP="00C30D2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C1B59">
        <w:rPr>
          <w:rFonts w:ascii="Arial" w:hAnsi="Arial" w:cs="Arial"/>
          <w:sz w:val="21"/>
          <w:szCs w:val="21"/>
        </w:rPr>
        <w:t xml:space="preserve">Citované </w:t>
      </w:r>
      <w:r w:rsidR="00817D16" w:rsidRPr="005C1B59">
        <w:rPr>
          <w:rFonts w:ascii="Arial" w:hAnsi="Arial" w:cs="Arial"/>
          <w:sz w:val="21"/>
          <w:szCs w:val="21"/>
        </w:rPr>
        <w:t>materiály neřeší následující otázky:</w:t>
      </w:r>
    </w:p>
    <w:p w14:paraId="025F6C6B" w14:textId="77777777" w:rsidR="00C30D21" w:rsidRPr="005C1B59" w:rsidRDefault="00C30D21" w:rsidP="00C30D2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A1385B3" w14:textId="26C22DAF" w:rsidR="00817D16" w:rsidRPr="005C1B59" w:rsidRDefault="001C281D" w:rsidP="00C30D21">
      <w:pPr>
        <w:spacing w:after="0" w:line="240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5C1B59">
        <w:rPr>
          <w:rFonts w:ascii="Arial" w:hAnsi="Arial" w:cs="Arial"/>
          <w:i/>
          <w:iCs/>
          <w:sz w:val="21"/>
          <w:szCs w:val="21"/>
        </w:rPr>
        <w:t xml:space="preserve">Je vyšetření </w:t>
      </w:r>
      <w:bookmarkStart w:id="0" w:name="_Hlk58614511"/>
      <w:r w:rsidRPr="005C1B59">
        <w:rPr>
          <w:rFonts w:ascii="Arial" w:hAnsi="Arial" w:cs="Arial"/>
          <w:i/>
          <w:iCs/>
          <w:sz w:val="21"/>
          <w:szCs w:val="21"/>
        </w:rPr>
        <w:t xml:space="preserve">na stanovení přítomnosti antigenu viru SARS CoV-2 prostřednictvím POC antigenních testů </w:t>
      </w:r>
      <w:bookmarkEnd w:id="0"/>
      <w:r w:rsidRPr="005C1B59">
        <w:rPr>
          <w:rFonts w:ascii="Arial" w:hAnsi="Arial" w:cs="Arial"/>
          <w:i/>
          <w:iCs/>
          <w:sz w:val="21"/>
          <w:szCs w:val="21"/>
        </w:rPr>
        <w:t>oprávněn provádět poskytovatel zdravotních služeb v oboru zubní lékařství? Jinými slovy, je předmětné testování kryto oprávněním k poskytování zdravotních služeb v oboru zubní lékařství?</w:t>
      </w:r>
    </w:p>
    <w:p w14:paraId="7015EC56" w14:textId="14189901" w:rsidR="001C281D" w:rsidRPr="005C1B59" w:rsidRDefault="001C281D" w:rsidP="00C30D2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EB27549" w14:textId="49C12E26" w:rsidR="001C281D" w:rsidRPr="005C1B59" w:rsidRDefault="001C281D" w:rsidP="00C30D2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C1B59">
        <w:rPr>
          <w:rFonts w:ascii="Arial" w:hAnsi="Arial" w:cs="Arial"/>
          <w:sz w:val="21"/>
          <w:szCs w:val="21"/>
        </w:rPr>
        <w:t xml:space="preserve">Podle zákona platí, že výkonem povolání zubního lékaře se rozumí péče o zuby, ústa, čelisti a související tkáně. </w:t>
      </w:r>
      <w:r w:rsidR="00743E88" w:rsidRPr="005C1B59">
        <w:rPr>
          <w:rFonts w:ascii="Arial" w:hAnsi="Arial" w:cs="Arial"/>
          <w:sz w:val="21"/>
          <w:szCs w:val="21"/>
        </w:rPr>
        <w:t xml:space="preserve">Pouze takovou péči může poskytovatel zdravotních služeb v oboru zubní lékařství poskytovat. </w:t>
      </w:r>
      <w:r w:rsidR="004203EA" w:rsidRPr="005C1B59">
        <w:rPr>
          <w:rFonts w:ascii="Arial" w:hAnsi="Arial" w:cs="Arial"/>
          <w:sz w:val="21"/>
          <w:szCs w:val="21"/>
        </w:rPr>
        <w:t xml:space="preserve">Podle stanoviska Ministerstva zdravotnictví je vyšetření na stanovení přítomnosti antigenu viru SARS CoV-2 prostřednictvím POC antigenních testů v zubní ordinaci možné. Ze stejného předpokladu vychází </w:t>
      </w:r>
      <w:r w:rsidR="00AD5464" w:rsidRPr="005C1B59">
        <w:rPr>
          <w:rFonts w:ascii="Arial" w:hAnsi="Arial" w:cs="Arial"/>
          <w:sz w:val="21"/>
          <w:szCs w:val="21"/>
        </w:rPr>
        <w:t xml:space="preserve">zjevně </w:t>
      </w:r>
      <w:r w:rsidR="004203EA" w:rsidRPr="005C1B59">
        <w:rPr>
          <w:rFonts w:ascii="Arial" w:hAnsi="Arial" w:cs="Arial"/>
          <w:sz w:val="21"/>
          <w:szCs w:val="21"/>
        </w:rPr>
        <w:t xml:space="preserve">i </w:t>
      </w:r>
      <w:r w:rsidRPr="005C1B59">
        <w:rPr>
          <w:rFonts w:ascii="Arial" w:hAnsi="Arial" w:cs="Arial"/>
          <w:sz w:val="21"/>
          <w:szCs w:val="21"/>
        </w:rPr>
        <w:t>VZP ČR</w:t>
      </w:r>
      <w:r w:rsidR="00AD5464" w:rsidRPr="005C1B59">
        <w:rPr>
          <w:rFonts w:ascii="Arial" w:hAnsi="Arial" w:cs="Arial"/>
          <w:sz w:val="21"/>
          <w:szCs w:val="21"/>
        </w:rPr>
        <w:t>, která podle zákona smí hradit jen oprávněně poskytnuté zdravotní služby.</w:t>
      </w:r>
    </w:p>
    <w:p w14:paraId="758F8BB3" w14:textId="77777777" w:rsidR="00747546" w:rsidRPr="005C1B59" w:rsidRDefault="00747546" w:rsidP="00C30D2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4352852" w14:textId="0FCF2B8C" w:rsidR="00747546" w:rsidRPr="005C1B59" w:rsidRDefault="001C281D" w:rsidP="00C30D21">
      <w:pPr>
        <w:spacing w:after="0" w:line="240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5C1B59">
        <w:rPr>
          <w:rFonts w:ascii="Arial" w:hAnsi="Arial" w:cs="Arial"/>
          <w:i/>
          <w:iCs/>
          <w:sz w:val="21"/>
          <w:szCs w:val="21"/>
        </w:rPr>
        <w:t xml:space="preserve">Kryje profesní pojištění </w:t>
      </w:r>
      <w:r w:rsidR="00743E88" w:rsidRPr="005C1B59">
        <w:rPr>
          <w:rFonts w:ascii="Arial" w:hAnsi="Arial" w:cs="Arial"/>
          <w:i/>
          <w:iCs/>
          <w:sz w:val="21"/>
          <w:szCs w:val="21"/>
        </w:rPr>
        <w:t xml:space="preserve">zubního lékaře </w:t>
      </w:r>
      <w:r w:rsidRPr="005C1B59">
        <w:rPr>
          <w:rFonts w:ascii="Arial" w:hAnsi="Arial" w:cs="Arial"/>
          <w:i/>
          <w:iCs/>
          <w:sz w:val="21"/>
          <w:szCs w:val="21"/>
        </w:rPr>
        <w:t>případné újmy způsobené pacientům v souvislosti s testováním?</w:t>
      </w:r>
    </w:p>
    <w:p w14:paraId="2F296EE4" w14:textId="638FEF0D" w:rsidR="001C281D" w:rsidRPr="005C1B59" w:rsidRDefault="001C281D" w:rsidP="00C30D2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3D2B7D7" w14:textId="29EFE805" w:rsidR="001C281D" w:rsidRPr="005C1B59" w:rsidRDefault="00743E88" w:rsidP="00C30D2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C1B59">
        <w:rPr>
          <w:rFonts w:ascii="Arial" w:hAnsi="Arial" w:cs="Arial"/>
          <w:sz w:val="21"/>
          <w:szCs w:val="21"/>
        </w:rPr>
        <w:t xml:space="preserve">Záleží </w:t>
      </w:r>
      <w:r w:rsidR="004203EA" w:rsidRPr="005C1B59">
        <w:rPr>
          <w:rFonts w:ascii="Arial" w:hAnsi="Arial" w:cs="Arial"/>
          <w:sz w:val="21"/>
          <w:szCs w:val="21"/>
        </w:rPr>
        <w:t xml:space="preserve">na znění </w:t>
      </w:r>
      <w:r w:rsidR="00AD5464" w:rsidRPr="005C1B59">
        <w:rPr>
          <w:rFonts w:ascii="Arial" w:hAnsi="Arial" w:cs="Arial"/>
          <w:sz w:val="21"/>
          <w:szCs w:val="21"/>
        </w:rPr>
        <w:t xml:space="preserve">konkrétní </w:t>
      </w:r>
      <w:r w:rsidR="004203EA" w:rsidRPr="005C1B59">
        <w:rPr>
          <w:rFonts w:ascii="Arial" w:hAnsi="Arial" w:cs="Arial"/>
          <w:sz w:val="21"/>
          <w:szCs w:val="21"/>
        </w:rPr>
        <w:t xml:space="preserve">pojistné smlouvy. Obecně však platí, že </w:t>
      </w:r>
      <w:r w:rsidR="00AD5464" w:rsidRPr="005C1B59">
        <w:rPr>
          <w:rFonts w:ascii="Arial" w:hAnsi="Arial" w:cs="Arial"/>
          <w:sz w:val="21"/>
          <w:szCs w:val="21"/>
        </w:rPr>
        <w:t xml:space="preserve">pojištění odpovědnosti za újmu způsobenou při poskytování zdravotních služeb, které musí mít uzavřeno každý poskytovatel, by mělo zahrnovat újmy způsobené oprávněným poskytováním zdravotních služeb. Vycházíme-li z názoru ministerstva a VZP ČR, </w:t>
      </w:r>
      <w:r w:rsidR="004203EA" w:rsidRPr="005C1B59">
        <w:rPr>
          <w:rFonts w:ascii="Arial" w:hAnsi="Arial" w:cs="Arial"/>
          <w:sz w:val="21"/>
          <w:szCs w:val="21"/>
        </w:rPr>
        <w:t xml:space="preserve">že </w:t>
      </w:r>
      <w:r w:rsidRPr="005C1B59">
        <w:rPr>
          <w:rFonts w:ascii="Arial" w:hAnsi="Arial" w:cs="Arial"/>
          <w:sz w:val="21"/>
          <w:szCs w:val="21"/>
        </w:rPr>
        <w:t xml:space="preserve">antigenní testování na SARS CoV-2 je </w:t>
      </w:r>
      <w:r w:rsidR="00C30D21" w:rsidRPr="005C1B59">
        <w:rPr>
          <w:rFonts w:ascii="Arial" w:hAnsi="Arial" w:cs="Arial"/>
          <w:sz w:val="21"/>
          <w:szCs w:val="21"/>
        </w:rPr>
        <w:t xml:space="preserve">zahrnuto do </w:t>
      </w:r>
      <w:r w:rsidRPr="005C1B59">
        <w:rPr>
          <w:rFonts w:ascii="Arial" w:hAnsi="Arial" w:cs="Arial"/>
          <w:sz w:val="21"/>
          <w:szCs w:val="21"/>
        </w:rPr>
        <w:t>oprávnění k poskytování zdravotních služeb v oboru zubní lékařství</w:t>
      </w:r>
      <w:r w:rsidR="00AD5464" w:rsidRPr="005C1B59">
        <w:rPr>
          <w:rFonts w:ascii="Arial" w:hAnsi="Arial" w:cs="Arial"/>
          <w:sz w:val="21"/>
          <w:szCs w:val="21"/>
        </w:rPr>
        <w:t xml:space="preserve">, pak lze obecně předpokládat, že profesní pojištění se na případné újmy způsobené pacientům bude vztahovat. </w:t>
      </w:r>
    </w:p>
    <w:p w14:paraId="285BBF6F" w14:textId="62CBDC04" w:rsidR="00743E88" w:rsidRPr="005C1B59" w:rsidRDefault="00743E88" w:rsidP="00C30D2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1C4655D" w14:textId="6C1F2F01" w:rsidR="00743E88" w:rsidRPr="005C1B59" w:rsidRDefault="008B6362" w:rsidP="00C30D21">
      <w:pPr>
        <w:spacing w:after="0" w:line="240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5C1B59">
        <w:rPr>
          <w:rFonts w:ascii="Arial" w:hAnsi="Arial" w:cs="Arial"/>
          <w:i/>
          <w:iCs/>
          <w:sz w:val="21"/>
          <w:szCs w:val="21"/>
        </w:rPr>
        <w:t>Je pro zahájení antigenního testování nutné upravovat provozní řád ordinace?</w:t>
      </w:r>
    </w:p>
    <w:p w14:paraId="38178111" w14:textId="77777777" w:rsidR="001066CD" w:rsidRPr="005C1B59" w:rsidRDefault="008B6362" w:rsidP="00C30D2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C1B59">
        <w:rPr>
          <w:rFonts w:ascii="Arial" w:hAnsi="Arial" w:cs="Arial"/>
          <w:sz w:val="21"/>
          <w:szCs w:val="21"/>
        </w:rPr>
        <w:t xml:space="preserve">Záleží na konkrétním provozním řádu. Poskytovatel, který má ve schváleném provozním řádu uvedeno, že </w:t>
      </w:r>
      <w:r w:rsidR="008015A6" w:rsidRPr="005C1B59">
        <w:rPr>
          <w:rFonts w:ascii="Arial" w:hAnsi="Arial" w:cs="Arial"/>
          <w:sz w:val="21"/>
          <w:szCs w:val="21"/>
        </w:rPr>
        <w:t>neprovádí odběr biologického materiálu</w:t>
      </w:r>
      <w:r w:rsidR="001066CD" w:rsidRPr="005C1B59">
        <w:rPr>
          <w:rFonts w:ascii="Arial" w:hAnsi="Arial" w:cs="Arial"/>
          <w:sz w:val="21"/>
          <w:szCs w:val="21"/>
        </w:rPr>
        <w:t>, musí před zahájením antigenního testování provozní řád změnit a změnu nechat schválit příslušnou hygienickou stanicí.</w:t>
      </w:r>
    </w:p>
    <w:p w14:paraId="5B2A7141" w14:textId="77777777" w:rsidR="001066CD" w:rsidRPr="005C1B59" w:rsidRDefault="001066CD" w:rsidP="00C30D2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DC56A00" w14:textId="5D1405FF" w:rsidR="00B318EB" w:rsidRPr="005C1B59" w:rsidRDefault="003249F7" w:rsidP="00C30D21">
      <w:pPr>
        <w:spacing w:after="0" w:line="240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5C1B59">
        <w:rPr>
          <w:rFonts w:ascii="Arial" w:hAnsi="Arial" w:cs="Arial"/>
          <w:i/>
          <w:iCs/>
          <w:sz w:val="21"/>
          <w:szCs w:val="21"/>
        </w:rPr>
        <w:t xml:space="preserve">Kdo </w:t>
      </w:r>
      <w:r w:rsidR="00B318EB" w:rsidRPr="005C1B59">
        <w:rPr>
          <w:rFonts w:ascii="Arial" w:hAnsi="Arial" w:cs="Arial"/>
          <w:i/>
          <w:iCs/>
          <w:sz w:val="21"/>
          <w:szCs w:val="21"/>
        </w:rPr>
        <w:t>může provádět odběry?</w:t>
      </w:r>
    </w:p>
    <w:p w14:paraId="7590CC22" w14:textId="4684952E" w:rsidR="00B318EB" w:rsidRPr="005C1B59" w:rsidRDefault="003249F7" w:rsidP="00C30D2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C1B59">
        <w:rPr>
          <w:rFonts w:ascii="Arial" w:hAnsi="Arial" w:cs="Arial"/>
          <w:sz w:val="21"/>
          <w:szCs w:val="21"/>
        </w:rPr>
        <w:t>Podmínkou úhrady podle výše uvedeného organizačního opa</w:t>
      </w:r>
      <w:r w:rsidR="002D203D" w:rsidRPr="005C1B59">
        <w:rPr>
          <w:rFonts w:ascii="Arial" w:hAnsi="Arial" w:cs="Arial"/>
          <w:sz w:val="21"/>
          <w:szCs w:val="21"/>
        </w:rPr>
        <w:t>t</w:t>
      </w:r>
      <w:r w:rsidRPr="005C1B59">
        <w:rPr>
          <w:rFonts w:ascii="Arial" w:hAnsi="Arial" w:cs="Arial"/>
          <w:sz w:val="21"/>
          <w:szCs w:val="21"/>
        </w:rPr>
        <w:t>ření je, že odběry provádí zdravotnický pracovník.</w:t>
      </w:r>
      <w:r w:rsidR="00AD5464" w:rsidRPr="005C1B59">
        <w:rPr>
          <w:rFonts w:ascii="Arial" w:hAnsi="Arial" w:cs="Arial"/>
          <w:sz w:val="21"/>
          <w:szCs w:val="21"/>
        </w:rPr>
        <w:t xml:space="preserve"> Může se jednat o lékařského i nelékařského zdravotnického pracovníka. </w:t>
      </w:r>
    </w:p>
    <w:p w14:paraId="0B6FE2DE" w14:textId="77777777" w:rsidR="00B318EB" w:rsidRPr="005C1B59" w:rsidRDefault="00B318EB" w:rsidP="00C30D2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E8234DA" w14:textId="00D83F05" w:rsidR="00B318EB" w:rsidRPr="005C1B59" w:rsidRDefault="00B318EB" w:rsidP="00C30D21">
      <w:pPr>
        <w:spacing w:after="0" w:line="240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5C1B59">
        <w:rPr>
          <w:rFonts w:ascii="Arial" w:hAnsi="Arial" w:cs="Arial"/>
          <w:i/>
          <w:iCs/>
          <w:sz w:val="21"/>
          <w:szCs w:val="21"/>
        </w:rPr>
        <w:t xml:space="preserve">Jaké osobní ochranné prostředky </w:t>
      </w:r>
      <w:r w:rsidR="003249F7" w:rsidRPr="005C1B59">
        <w:rPr>
          <w:rFonts w:ascii="Arial" w:hAnsi="Arial" w:cs="Arial"/>
          <w:i/>
          <w:iCs/>
          <w:sz w:val="21"/>
          <w:szCs w:val="21"/>
        </w:rPr>
        <w:t>musí osoba, která odběry provádí, použít?</w:t>
      </w:r>
    </w:p>
    <w:p w14:paraId="72AB277B" w14:textId="27C55B41" w:rsidR="003249F7" w:rsidRPr="005C1B59" w:rsidRDefault="00766FCD" w:rsidP="00C30D2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</w:t>
      </w:r>
      <w:r w:rsidR="002D203D" w:rsidRPr="005C1B59">
        <w:rPr>
          <w:rFonts w:ascii="Arial" w:hAnsi="Arial" w:cs="Arial"/>
          <w:sz w:val="21"/>
          <w:szCs w:val="21"/>
        </w:rPr>
        <w:t xml:space="preserve">dravotnický pracovník zajišťující odběr biologického materiálu </w:t>
      </w:r>
      <w:r>
        <w:rPr>
          <w:rFonts w:ascii="Arial" w:hAnsi="Arial" w:cs="Arial"/>
          <w:sz w:val="21"/>
          <w:szCs w:val="21"/>
        </w:rPr>
        <w:t xml:space="preserve">musí </w:t>
      </w:r>
      <w:r w:rsidR="002D203D" w:rsidRPr="005C1B59">
        <w:rPr>
          <w:rFonts w:ascii="Arial" w:hAnsi="Arial" w:cs="Arial"/>
          <w:sz w:val="21"/>
          <w:szCs w:val="21"/>
        </w:rPr>
        <w:t>být vybaven osobními ochrannými prostředky nejméně v rozsahu doporučeném pro členy dentálního týmu v době epidemie respiračního onemocnění (respirátor FFP2, ochrana očí, pokrývka hlavy, rukavice</w:t>
      </w:r>
      <w:r>
        <w:rPr>
          <w:rFonts w:ascii="Arial" w:hAnsi="Arial" w:cs="Arial"/>
          <w:color w:val="FF0000"/>
          <w:sz w:val="21"/>
          <w:szCs w:val="21"/>
        </w:rPr>
        <w:t>, doporučený je ochranný plášť</w:t>
      </w:r>
      <w:r w:rsidR="002D203D" w:rsidRPr="005C1B59">
        <w:rPr>
          <w:rFonts w:ascii="Arial" w:hAnsi="Arial" w:cs="Arial"/>
          <w:sz w:val="21"/>
          <w:szCs w:val="21"/>
        </w:rPr>
        <w:t>).</w:t>
      </w:r>
    </w:p>
    <w:p w14:paraId="0E02F9DF" w14:textId="23389CA1" w:rsidR="003249F7" w:rsidRPr="005C1B59" w:rsidRDefault="003249F7" w:rsidP="00C30D2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DDDA44E" w14:textId="5F62FFB7" w:rsidR="003249F7" w:rsidRPr="005C1B59" w:rsidRDefault="003249F7" w:rsidP="00C30D21">
      <w:pPr>
        <w:spacing w:after="0" w:line="240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5C1B59">
        <w:rPr>
          <w:rFonts w:ascii="Arial" w:hAnsi="Arial" w:cs="Arial"/>
          <w:i/>
          <w:iCs/>
          <w:sz w:val="21"/>
          <w:szCs w:val="21"/>
        </w:rPr>
        <w:t>Může poskytovatel odmítnout pacienta, který žádá provedení testu?</w:t>
      </w:r>
    </w:p>
    <w:p w14:paraId="73F8F65B" w14:textId="60B1F048" w:rsidR="003249F7" w:rsidRPr="005C1B59" w:rsidRDefault="003249F7" w:rsidP="00C30D2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C1B59">
        <w:rPr>
          <w:rFonts w:ascii="Arial" w:hAnsi="Arial" w:cs="Arial"/>
          <w:sz w:val="21"/>
          <w:szCs w:val="21"/>
        </w:rPr>
        <w:t xml:space="preserve">Zubní lékaři nejsou zahrnuti mezi poskytovatele, kteří jsou povinni testovat. Provedení POC antigenního testu tak podléhá stejnému režimu jako jakékoli jiné poskytnutí zdravotní služby. Zjednodušeně lze říci, že odmítnutí </w:t>
      </w:r>
      <w:r w:rsidR="00AD5464" w:rsidRPr="005C1B59">
        <w:rPr>
          <w:rFonts w:ascii="Arial" w:hAnsi="Arial" w:cs="Arial"/>
          <w:sz w:val="21"/>
          <w:szCs w:val="21"/>
        </w:rPr>
        <w:t xml:space="preserve">je možno </w:t>
      </w:r>
      <w:r w:rsidRPr="005C1B59">
        <w:rPr>
          <w:rFonts w:ascii="Arial" w:hAnsi="Arial" w:cs="Arial"/>
          <w:sz w:val="21"/>
          <w:szCs w:val="21"/>
        </w:rPr>
        <w:t xml:space="preserve">zdůvodnit </w:t>
      </w:r>
      <w:r w:rsidR="00AD5464" w:rsidRPr="005C1B59">
        <w:rPr>
          <w:rFonts w:ascii="Arial" w:hAnsi="Arial" w:cs="Arial"/>
          <w:sz w:val="21"/>
          <w:szCs w:val="21"/>
        </w:rPr>
        <w:t xml:space="preserve">nedostatkem </w:t>
      </w:r>
      <w:r w:rsidRPr="005C1B59">
        <w:rPr>
          <w:rFonts w:ascii="Arial" w:hAnsi="Arial" w:cs="Arial"/>
          <w:sz w:val="21"/>
          <w:szCs w:val="21"/>
        </w:rPr>
        <w:t>kapacit</w:t>
      </w:r>
      <w:r w:rsidR="00AD5464" w:rsidRPr="005C1B59">
        <w:rPr>
          <w:rFonts w:ascii="Arial" w:hAnsi="Arial" w:cs="Arial"/>
          <w:sz w:val="21"/>
          <w:szCs w:val="21"/>
        </w:rPr>
        <w:t>y na straně poskytovatele</w:t>
      </w:r>
      <w:r w:rsidRPr="005C1B59">
        <w:rPr>
          <w:rFonts w:ascii="Arial" w:hAnsi="Arial" w:cs="Arial"/>
          <w:sz w:val="21"/>
          <w:szCs w:val="21"/>
        </w:rPr>
        <w:t xml:space="preserve">. Nelze však doporučit odmítání testování s odůvodněním, že testování poskytovatel provádí jen v souvislosti se stomatologickým vyšetření či ošetřením nebo jen u svých pacientů apod. Takové případy by mohly být hodnoceny jako nezákonné odmítnutí převzetí do péče. </w:t>
      </w:r>
    </w:p>
    <w:p w14:paraId="79D6290E" w14:textId="27F1F9DF" w:rsidR="003249F7" w:rsidRPr="005C1B59" w:rsidRDefault="003249F7" w:rsidP="00C30D2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90B9630" w14:textId="19FA0BBD" w:rsidR="003249F7" w:rsidRPr="005C1B59" w:rsidRDefault="003249F7" w:rsidP="00C30D21">
      <w:pPr>
        <w:spacing w:after="0" w:line="240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5C1B59">
        <w:rPr>
          <w:rFonts w:ascii="Arial" w:hAnsi="Arial" w:cs="Arial"/>
          <w:i/>
          <w:iCs/>
          <w:sz w:val="21"/>
          <w:szCs w:val="21"/>
        </w:rPr>
        <w:t>Může pacient odmítnout provedení testu?</w:t>
      </w:r>
    </w:p>
    <w:p w14:paraId="16857C30" w14:textId="2DFFED9E" w:rsidR="003249F7" w:rsidRPr="005C1B59" w:rsidRDefault="003249F7" w:rsidP="00C30D2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C1B59">
        <w:rPr>
          <w:rFonts w:ascii="Arial" w:hAnsi="Arial" w:cs="Arial"/>
          <w:sz w:val="21"/>
          <w:szCs w:val="21"/>
        </w:rPr>
        <w:t xml:space="preserve">Ano. </w:t>
      </w:r>
      <w:r w:rsidR="00C30D21" w:rsidRPr="005C1B59">
        <w:rPr>
          <w:rFonts w:ascii="Arial" w:hAnsi="Arial" w:cs="Arial"/>
          <w:sz w:val="21"/>
          <w:szCs w:val="21"/>
        </w:rPr>
        <w:t xml:space="preserve">Odmítnutí testu ze strany pacienta je jeho právo. Odmítne-li pacient podstoupit test, není to důvod pro to, aby jej poskytovatel odmítl vyšetřit či ošetřit.  </w:t>
      </w:r>
    </w:p>
    <w:p w14:paraId="4E4B8929" w14:textId="42D9BDAA" w:rsidR="00C30D21" w:rsidRPr="005C1B59" w:rsidRDefault="00C30D21" w:rsidP="00C30D2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64DFF72" w14:textId="7DB1596A" w:rsidR="00C30D21" w:rsidRPr="005C1B59" w:rsidRDefault="00C30D21" w:rsidP="00C30D21">
      <w:pPr>
        <w:spacing w:after="0" w:line="240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5C1B59">
        <w:rPr>
          <w:rFonts w:ascii="Arial" w:hAnsi="Arial" w:cs="Arial"/>
          <w:i/>
          <w:iCs/>
          <w:sz w:val="21"/>
          <w:szCs w:val="21"/>
        </w:rPr>
        <w:t>Jsou zaměstnanci poskytovatele povinni se podrobit testování?</w:t>
      </w:r>
    </w:p>
    <w:p w14:paraId="17C03145" w14:textId="6602E24E" w:rsidR="00C30D21" w:rsidRPr="005C1B59" w:rsidRDefault="00C30D21" w:rsidP="00C30D2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C1B59">
        <w:rPr>
          <w:rFonts w:ascii="Arial" w:hAnsi="Arial" w:cs="Arial"/>
          <w:sz w:val="21"/>
          <w:szCs w:val="21"/>
        </w:rPr>
        <w:t>Nejsou.</w:t>
      </w:r>
    </w:p>
    <w:p w14:paraId="1BD599E7" w14:textId="77777777" w:rsidR="003249F7" w:rsidRPr="005C1B59" w:rsidRDefault="003249F7" w:rsidP="0073208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D5F4B86" w14:textId="70834F52" w:rsidR="008B6362" w:rsidRPr="00F36EBC" w:rsidRDefault="00C30D21" w:rsidP="00732088">
      <w:pPr>
        <w:spacing w:after="0" w:line="240" w:lineRule="auto"/>
        <w:rPr>
          <w:rFonts w:ascii="Arial" w:hAnsi="Arial" w:cs="Arial"/>
          <w:color w:val="FF0000"/>
          <w:sz w:val="21"/>
          <w:szCs w:val="21"/>
        </w:rPr>
      </w:pPr>
      <w:r w:rsidRPr="00F36EBC">
        <w:rPr>
          <w:rFonts w:ascii="Arial" w:hAnsi="Arial" w:cs="Arial"/>
          <w:color w:val="FF0000"/>
          <w:sz w:val="21"/>
          <w:szCs w:val="21"/>
        </w:rPr>
        <w:t>1</w:t>
      </w:r>
      <w:r w:rsidR="00F36EBC" w:rsidRPr="00F36EBC">
        <w:rPr>
          <w:rFonts w:ascii="Arial" w:hAnsi="Arial" w:cs="Arial"/>
          <w:color w:val="FF0000"/>
          <w:sz w:val="21"/>
          <w:szCs w:val="21"/>
        </w:rPr>
        <w:t>5</w:t>
      </w:r>
      <w:r w:rsidRPr="00F36EBC">
        <w:rPr>
          <w:rFonts w:ascii="Arial" w:hAnsi="Arial" w:cs="Arial"/>
          <w:color w:val="FF0000"/>
          <w:sz w:val="21"/>
          <w:szCs w:val="21"/>
        </w:rPr>
        <w:t>. prosince 2020</w:t>
      </w:r>
    </w:p>
    <w:p w14:paraId="65948231" w14:textId="0D5385F1" w:rsidR="00C30D21" w:rsidRPr="005C1B59" w:rsidRDefault="00C30D21" w:rsidP="0073208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84636DB" w14:textId="72958986" w:rsidR="00C30D21" w:rsidRPr="005C1B59" w:rsidRDefault="00C30D21" w:rsidP="00732088">
      <w:pPr>
        <w:spacing w:after="0" w:line="240" w:lineRule="auto"/>
        <w:rPr>
          <w:rFonts w:ascii="Arial" w:hAnsi="Arial" w:cs="Arial"/>
        </w:rPr>
      </w:pPr>
      <w:r w:rsidRPr="005C1B59">
        <w:rPr>
          <w:rFonts w:ascii="Arial" w:hAnsi="Arial" w:cs="Arial"/>
          <w:sz w:val="21"/>
          <w:szCs w:val="21"/>
        </w:rPr>
        <w:t>Mgr. Jiří Slavík</w:t>
      </w:r>
    </w:p>
    <w:sectPr w:rsidR="00C30D21" w:rsidRPr="005C1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A3DDC"/>
    <w:multiLevelType w:val="hybridMultilevel"/>
    <w:tmpl w:val="DA84BA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A41BB"/>
    <w:multiLevelType w:val="hybridMultilevel"/>
    <w:tmpl w:val="EF481F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6C2F9D"/>
    <w:multiLevelType w:val="hybridMultilevel"/>
    <w:tmpl w:val="93C67A1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46"/>
    <w:rsid w:val="00091A8F"/>
    <w:rsid w:val="001066CD"/>
    <w:rsid w:val="00111524"/>
    <w:rsid w:val="001C281D"/>
    <w:rsid w:val="002A013C"/>
    <w:rsid w:val="002D203D"/>
    <w:rsid w:val="003249F7"/>
    <w:rsid w:val="003A31BA"/>
    <w:rsid w:val="004203EA"/>
    <w:rsid w:val="004279F0"/>
    <w:rsid w:val="00515A51"/>
    <w:rsid w:val="005A068D"/>
    <w:rsid w:val="005C1B59"/>
    <w:rsid w:val="00690073"/>
    <w:rsid w:val="00726A5D"/>
    <w:rsid w:val="00732088"/>
    <w:rsid w:val="00743E88"/>
    <w:rsid w:val="00747546"/>
    <w:rsid w:val="00766FCD"/>
    <w:rsid w:val="008015A6"/>
    <w:rsid w:val="00817D16"/>
    <w:rsid w:val="008B6362"/>
    <w:rsid w:val="009D69BD"/>
    <w:rsid w:val="00AD5464"/>
    <w:rsid w:val="00B157F6"/>
    <w:rsid w:val="00B318EB"/>
    <w:rsid w:val="00C30D21"/>
    <w:rsid w:val="00DC1113"/>
    <w:rsid w:val="00E338F1"/>
    <w:rsid w:val="00EA43D9"/>
    <w:rsid w:val="00F3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954D"/>
  <w15:chartTrackingRefBased/>
  <w15:docId w15:val="{277A8427-54EB-479E-9826-1C8C0A7D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754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754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1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5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30D21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F36E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stovani_covid@vz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onavirus.mzcr.cz/wp-content/uploads/2020/12/Mimoradne-opatreni-antigenni-testovani-obyvatel-s-ucinnosti-od-16-12-2020-do-15-1-2021.pdf" TargetMode="External"/><Relationship Id="rId5" Type="http://schemas.openxmlformats.org/officeDocument/2006/relationships/hyperlink" Target="https://media.vzpstatic.cz/media/Default/dokumenty/organizacni-opatreni_54_2020-celoplosne-ag-testovani-aktualizace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988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Slavík</dc:creator>
  <cp:keywords/>
  <dc:description/>
  <cp:lastModifiedBy>Jiří Slavík</cp:lastModifiedBy>
  <cp:revision>4</cp:revision>
  <cp:lastPrinted>2020-12-12T10:47:00Z</cp:lastPrinted>
  <dcterms:created xsi:type="dcterms:W3CDTF">2020-12-15T17:24:00Z</dcterms:created>
  <dcterms:modified xsi:type="dcterms:W3CDTF">2020-12-15T17:30:00Z</dcterms:modified>
</cp:coreProperties>
</file>