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76A2" w14:textId="49AB8329" w:rsidR="00C95586" w:rsidRPr="00EF446D" w:rsidRDefault="00FD256F" w:rsidP="00D51C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OP5/2020 </w:t>
      </w:r>
      <w:r w:rsidR="00C95586" w:rsidRPr="00EF446D">
        <w:rPr>
          <w:rFonts w:ascii="Times New Roman" w:hAnsi="Times New Roman" w:cs="Times New Roman"/>
          <w:b/>
          <w:bCs/>
          <w:sz w:val="24"/>
          <w:szCs w:val="24"/>
        </w:rPr>
        <w:t>Opatření představenstva Komory,</w:t>
      </w:r>
      <w:r w:rsidR="00D51C77" w:rsidRPr="00EF4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586" w:rsidRPr="00EF446D">
        <w:rPr>
          <w:rFonts w:ascii="Times New Roman" w:hAnsi="Times New Roman" w:cs="Times New Roman"/>
          <w:b/>
          <w:bCs/>
          <w:sz w:val="24"/>
          <w:szCs w:val="24"/>
        </w:rPr>
        <w:t xml:space="preserve">jímž se stanoví </w:t>
      </w:r>
      <w:r w:rsidR="00BE2F58">
        <w:rPr>
          <w:rFonts w:ascii="Times New Roman" w:hAnsi="Times New Roman" w:cs="Times New Roman"/>
          <w:b/>
          <w:bCs/>
          <w:sz w:val="24"/>
          <w:szCs w:val="24"/>
        </w:rPr>
        <w:t xml:space="preserve">podrobnosti </w:t>
      </w:r>
      <w:r w:rsidR="00CF6A98" w:rsidRPr="00EF446D">
        <w:rPr>
          <w:rFonts w:ascii="Times New Roman" w:hAnsi="Times New Roman" w:cs="Times New Roman"/>
          <w:b/>
          <w:bCs/>
          <w:sz w:val="24"/>
          <w:szCs w:val="24"/>
        </w:rPr>
        <w:t>vstupní</w:t>
      </w:r>
      <w:r w:rsidR="00F952EF" w:rsidRPr="00EF446D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CF6A98" w:rsidRPr="00EF446D">
        <w:rPr>
          <w:rFonts w:ascii="Times New Roman" w:hAnsi="Times New Roman" w:cs="Times New Roman"/>
          <w:b/>
          <w:bCs/>
          <w:sz w:val="24"/>
          <w:szCs w:val="24"/>
        </w:rPr>
        <w:t xml:space="preserve"> vzdělávací</w:t>
      </w:r>
      <w:r w:rsidR="00F952EF" w:rsidRPr="00EF446D">
        <w:rPr>
          <w:rFonts w:ascii="Times New Roman" w:hAnsi="Times New Roman" w:cs="Times New Roman"/>
          <w:b/>
          <w:bCs/>
          <w:sz w:val="24"/>
          <w:szCs w:val="24"/>
        </w:rPr>
        <w:t>ho</w:t>
      </w:r>
      <w:r w:rsidR="00CF6A98" w:rsidRPr="00EF446D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F952EF" w:rsidRPr="00EF446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F6A98" w:rsidRPr="00EF446D">
        <w:rPr>
          <w:rFonts w:ascii="Times New Roman" w:hAnsi="Times New Roman" w:cs="Times New Roman"/>
          <w:b/>
          <w:bCs/>
          <w:sz w:val="24"/>
          <w:szCs w:val="24"/>
        </w:rPr>
        <w:t xml:space="preserve"> v praktickém zubním lékařství</w:t>
      </w:r>
      <w:r w:rsidR="005B5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C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(ve znění účinném od 1. ledna 2021)</w:t>
      </w:r>
    </w:p>
    <w:p w14:paraId="5ED022CE" w14:textId="77777777" w:rsidR="00C95586" w:rsidRPr="00EF446D" w:rsidRDefault="00C95586" w:rsidP="00C95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E9225" w14:textId="0AE708A2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 xml:space="preserve">Tímto opatřením stanovuje představenstvo Komory </w:t>
      </w:r>
      <w:r w:rsidR="005E06A0">
        <w:rPr>
          <w:rFonts w:ascii="Times New Roman" w:hAnsi="Times New Roman" w:cs="Times New Roman"/>
          <w:sz w:val="24"/>
          <w:szCs w:val="24"/>
        </w:rPr>
        <w:t>podle § 4</w:t>
      </w:r>
      <w:r w:rsidR="00203AC2">
        <w:rPr>
          <w:rFonts w:ascii="Times New Roman" w:hAnsi="Times New Roman" w:cs="Times New Roman"/>
          <w:sz w:val="24"/>
          <w:szCs w:val="24"/>
        </w:rPr>
        <w:t>1</w:t>
      </w:r>
      <w:r w:rsidR="005E06A0">
        <w:rPr>
          <w:rFonts w:ascii="Times New Roman" w:hAnsi="Times New Roman" w:cs="Times New Roman"/>
          <w:sz w:val="24"/>
          <w:szCs w:val="24"/>
        </w:rPr>
        <w:t xml:space="preserve"> odst. </w:t>
      </w:r>
      <w:r w:rsidR="00203AC2">
        <w:rPr>
          <w:rFonts w:ascii="Times New Roman" w:hAnsi="Times New Roman" w:cs="Times New Roman"/>
          <w:sz w:val="24"/>
          <w:szCs w:val="24"/>
        </w:rPr>
        <w:t>2</w:t>
      </w:r>
      <w:r w:rsidR="005E06A0">
        <w:rPr>
          <w:rFonts w:ascii="Times New Roman" w:hAnsi="Times New Roman" w:cs="Times New Roman"/>
          <w:sz w:val="24"/>
          <w:szCs w:val="24"/>
        </w:rPr>
        <w:t xml:space="preserve"> organizačního řádu Komory </w:t>
      </w:r>
      <w:r w:rsidR="00203AC2">
        <w:rPr>
          <w:rFonts w:ascii="Times New Roman" w:hAnsi="Times New Roman" w:cs="Times New Roman"/>
          <w:sz w:val="24"/>
          <w:szCs w:val="24"/>
        </w:rPr>
        <w:t xml:space="preserve">a podle vstupného vzdělávacího programu v praktickém zubním lékařství </w:t>
      </w:r>
      <w:r w:rsidR="00CF6A98" w:rsidRPr="00D51C77">
        <w:rPr>
          <w:rFonts w:ascii="Times New Roman" w:hAnsi="Times New Roman" w:cs="Times New Roman"/>
          <w:sz w:val="24"/>
          <w:szCs w:val="24"/>
        </w:rPr>
        <w:t xml:space="preserve">předepsané vzdělávací akce, doporučené vzdělávací akce a rozsah praktického </w:t>
      </w:r>
      <w:r w:rsidR="00F952EF" w:rsidRPr="00D51C77">
        <w:rPr>
          <w:rFonts w:ascii="Times New Roman" w:hAnsi="Times New Roman" w:cs="Times New Roman"/>
          <w:sz w:val="24"/>
          <w:szCs w:val="24"/>
        </w:rPr>
        <w:t xml:space="preserve">výkonu povolání, které zahrnuje </w:t>
      </w:r>
      <w:r w:rsidR="00CF6A98" w:rsidRPr="00D51C77">
        <w:rPr>
          <w:rFonts w:ascii="Times New Roman" w:hAnsi="Times New Roman" w:cs="Times New Roman"/>
          <w:sz w:val="24"/>
          <w:szCs w:val="24"/>
        </w:rPr>
        <w:t>vstupní vzdělávací program v praktickém zubním lékařství</w:t>
      </w:r>
      <w:r w:rsidRPr="00D51C77">
        <w:rPr>
          <w:rFonts w:ascii="Times New Roman" w:hAnsi="Times New Roman" w:cs="Times New Roman"/>
          <w:sz w:val="24"/>
          <w:szCs w:val="24"/>
        </w:rPr>
        <w:t>.</w:t>
      </w:r>
    </w:p>
    <w:p w14:paraId="1CC97EDE" w14:textId="77777777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4D400" w14:textId="77777777" w:rsidR="00C95586" w:rsidRPr="00C114CD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F15FD89" w14:textId="77777777" w:rsidR="00C95586" w:rsidRPr="00C114CD" w:rsidRDefault="00F952EF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Předepsané vzdělávací akce</w:t>
      </w:r>
    </w:p>
    <w:p w14:paraId="79AC3C38" w14:textId="77777777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F2D2C" w14:textId="77777777" w:rsidR="00F952EF" w:rsidRPr="00D51C77" w:rsidRDefault="00F952EF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 xml:space="preserve">Předepsané vzdělávací akce jsou kurzy, jejichž </w:t>
      </w:r>
      <w:r w:rsidR="00F82EF9" w:rsidRPr="00D51C77">
        <w:rPr>
          <w:rFonts w:ascii="Times New Roman" w:hAnsi="Times New Roman" w:cs="Times New Roman"/>
          <w:sz w:val="24"/>
          <w:szCs w:val="24"/>
        </w:rPr>
        <w:t xml:space="preserve">kódy, </w:t>
      </w:r>
      <w:r w:rsidRPr="00D51C77">
        <w:rPr>
          <w:rFonts w:ascii="Times New Roman" w:hAnsi="Times New Roman" w:cs="Times New Roman"/>
          <w:sz w:val="24"/>
          <w:szCs w:val="24"/>
        </w:rPr>
        <w:t xml:space="preserve">názvy a náplň jsou uvedeny v příloze č. 1 tohoto opatření. </w:t>
      </w:r>
    </w:p>
    <w:p w14:paraId="12C4E281" w14:textId="77777777" w:rsidR="00F952EF" w:rsidRPr="00D51C77" w:rsidRDefault="00F952EF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22976" w14:textId="77777777" w:rsidR="00C95586" w:rsidRPr="00C114CD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D6D48FD" w14:textId="77777777" w:rsidR="00C95586" w:rsidRPr="00C114CD" w:rsidRDefault="00F952EF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Doporučené vzdělávací akce</w:t>
      </w:r>
    </w:p>
    <w:p w14:paraId="149609CC" w14:textId="77777777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2A290" w14:textId="77777777" w:rsidR="00F952EF" w:rsidRPr="00D51C77" w:rsidRDefault="00F952EF" w:rsidP="00F9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 xml:space="preserve">Doporučené vzdělávací akce jsou teoretické a praktické kurzy, jejichž </w:t>
      </w:r>
      <w:r w:rsidR="00F82EF9" w:rsidRPr="00D51C77">
        <w:rPr>
          <w:rFonts w:ascii="Times New Roman" w:hAnsi="Times New Roman" w:cs="Times New Roman"/>
          <w:sz w:val="24"/>
          <w:szCs w:val="24"/>
        </w:rPr>
        <w:t xml:space="preserve">kódy, </w:t>
      </w:r>
      <w:r w:rsidRPr="00D51C77">
        <w:rPr>
          <w:rFonts w:ascii="Times New Roman" w:hAnsi="Times New Roman" w:cs="Times New Roman"/>
          <w:sz w:val="24"/>
          <w:szCs w:val="24"/>
        </w:rPr>
        <w:t xml:space="preserve">názvy a náplň jsou uvedeny v příloze č. 2 tohoto opatření. </w:t>
      </w:r>
    </w:p>
    <w:p w14:paraId="0F2344C8" w14:textId="77777777" w:rsidR="00F952EF" w:rsidRPr="00D51C77" w:rsidRDefault="00F952EF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277A9" w14:textId="77777777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56169" w14:textId="77777777" w:rsidR="00C95586" w:rsidRPr="00C114CD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9F7033C" w14:textId="77777777" w:rsidR="00C95586" w:rsidRPr="00C114CD" w:rsidRDefault="00F952EF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Minimální rozsah praktického výkonu povolání</w:t>
      </w:r>
    </w:p>
    <w:p w14:paraId="44440C02" w14:textId="77777777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8232" w14:textId="77777777" w:rsidR="00C95586" w:rsidRPr="00D51C77" w:rsidRDefault="00136891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>Minimální rozsah praktického výkonu povolání zahrnuje soustavnou činnost praktického zubního lékaře v</w:t>
      </w:r>
      <w:r w:rsidR="00F03F0A" w:rsidRPr="00D51C77">
        <w:rPr>
          <w:rFonts w:ascii="Times New Roman" w:hAnsi="Times New Roman" w:cs="Times New Roman"/>
          <w:sz w:val="24"/>
          <w:szCs w:val="24"/>
        </w:rPr>
        <w:t> </w:t>
      </w:r>
      <w:r w:rsidR="0041254B" w:rsidRPr="00D51C77">
        <w:rPr>
          <w:rFonts w:ascii="Times New Roman" w:hAnsi="Times New Roman" w:cs="Times New Roman"/>
          <w:sz w:val="24"/>
          <w:szCs w:val="24"/>
        </w:rPr>
        <w:t>proteti</w:t>
      </w:r>
      <w:r w:rsidR="00D80B39" w:rsidRPr="00D51C77">
        <w:rPr>
          <w:rFonts w:ascii="Times New Roman" w:hAnsi="Times New Roman" w:cs="Times New Roman"/>
          <w:sz w:val="24"/>
          <w:szCs w:val="24"/>
        </w:rPr>
        <w:t>ce</w:t>
      </w:r>
      <w:r w:rsidR="00F03F0A" w:rsidRPr="00D51C77">
        <w:rPr>
          <w:rFonts w:ascii="Times New Roman" w:hAnsi="Times New Roman" w:cs="Times New Roman"/>
          <w:sz w:val="24"/>
          <w:szCs w:val="24"/>
        </w:rPr>
        <w:t xml:space="preserve"> (fixní i snímatelné zubní náhrady)</w:t>
      </w:r>
      <w:r w:rsidR="0041254B" w:rsidRPr="00D51C77">
        <w:rPr>
          <w:rFonts w:ascii="Times New Roman" w:hAnsi="Times New Roman" w:cs="Times New Roman"/>
          <w:sz w:val="24"/>
          <w:szCs w:val="24"/>
        </w:rPr>
        <w:t>, záchovné stomatologi</w:t>
      </w:r>
      <w:r w:rsidR="00D80B39" w:rsidRPr="00D51C77">
        <w:rPr>
          <w:rFonts w:ascii="Times New Roman" w:hAnsi="Times New Roman" w:cs="Times New Roman"/>
          <w:sz w:val="24"/>
          <w:szCs w:val="24"/>
        </w:rPr>
        <w:t>i</w:t>
      </w:r>
      <w:r w:rsidR="0041254B" w:rsidRPr="00D51C77">
        <w:rPr>
          <w:rFonts w:ascii="Times New Roman" w:hAnsi="Times New Roman" w:cs="Times New Roman"/>
          <w:sz w:val="24"/>
          <w:szCs w:val="24"/>
        </w:rPr>
        <w:t>, chirurgi</w:t>
      </w:r>
      <w:r w:rsidR="00D80B39" w:rsidRPr="00D51C77">
        <w:rPr>
          <w:rFonts w:ascii="Times New Roman" w:hAnsi="Times New Roman" w:cs="Times New Roman"/>
          <w:sz w:val="24"/>
          <w:szCs w:val="24"/>
        </w:rPr>
        <w:t>i</w:t>
      </w:r>
      <w:r w:rsidR="0041254B" w:rsidRPr="00D51C77">
        <w:rPr>
          <w:rFonts w:ascii="Times New Roman" w:hAnsi="Times New Roman" w:cs="Times New Roman"/>
          <w:sz w:val="24"/>
          <w:szCs w:val="24"/>
        </w:rPr>
        <w:t>, parodontologi</w:t>
      </w:r>
      <w:r w:rsidR="00D80B39" w:rsidRPr="00D51C77">
        <w:rPr>
          <w:rFonts w:ascii="Times New Roman" w:hAnsi="Times New Roman" w:cs="Times New Roman"/>
          <w:sz w:val="24"/>
          <w:szCs w:val="24"/>
        </w:rPr>
        <w:t>i</w:t>
      </w:r>
      <w:r w:rsidR="0041254B" w:rsidRPr="00D51C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254B" w:rsidRPr="00D51C77">
        <w:rPr>
          <w:rFonts w:ascii="Times New Roman" w:hAnsi="Times New Roman" w:cs="Times New Roman"/>
          <w:sz w:val="24"/>
          <w:szCs w:val="24"/>
        </w:rPr>
        <w:t>pedostomatologi</w:t>
      </w:r>
      <w:r w:rsidR="00D80B39" w:rsidRPr="00D51C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0B39" w:rsidRPr="00D51C77">
        <w:rPr>
          <w:rFonts w:ascii="Times New Roman" w:hAnsi="Times New Roman" w:cs="Times New Roman"/>
          <w:sz w:val="24"/>
          <w:szCs w:val="24"/>
        </w:rPr>
        <w:t>.</w:t>
      </w:r>
    </w:p>
    <w:p w14:paraId="2CC866FF" w14:textId="77777777" w:rsidR="00C95586" w:rsidRPr="00D51C77" w:rsidRDefault="00C95586" w:rsidP="00C9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40C46" w14:textId="77777777" w:rsidR="00C95586" w:rsidRPr="00C114CD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47116" w:rsidRPr="00C114C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F78AEB" w14:textId="77777777" w:rsidR="00896B1D" w:rsidRPr="00C114CD" w:rsidRDefault="00896B1D" w:rsidP="0089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Pořadatel</w:t>
      </w:r>
    </w:p>
    <w:p w14:paraId="67994561" w14:textId="77777777" w:rsidR="00896B1D" w:rsidRPr="00D51C77" w:rsidRDefault="00896B1D" w:rsidP="0089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780E3" w14:textId="77777777" w:rsidR="00896B1D" w:rsidRPr="00D51C77" w:rsidRDefault="00896B1D" w:rsidP="0089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 xml:space="preserve">Pořadatelem </w:t>
      </w:r>
      <w:r w:rsidR="00147116" w:rsidRPr="00D51C77">
        <w:rPr>
          <w:rFonts w:ascii="Times New Roman" w:hAnsi="Times New Roman" w:cs="Times New Roman"/>
          <w:sz w:val="24"/>
          <w:szCs w:val="24"/>
        </w:rPr>
        <w:t xml:space="preserve">předepsaných vzdělávacích akcí a doporučených vzdělávacích akcí </w:t>
      </w:r>
      <w:r w:rsidRPr="00D51C77">
        <w:rPr>
          <w:rFonts w:ascii="Times New Roman" w:hAnsi="Times New Roman" w:cs="Times New Roman"/>
          <w:sz w:val="24"/>
          <w:szCs w:val="24"/>
        </w:rPr>
        <w:t xml:space="preserve">může být jen </w:t>
      </w:r>
      <w:r w:rsidR="004E1178" w:rsidRPr="00D51C77">
        <w:rPr>
          <w:rFonts w:ascii="Times New Roman" w:hAnsi="Times New Roman" w:cs="Times New Roman"/>
          <w:sz w:val="24"/>
          <w:szCs w:val="24"/>
        </w:rPr>
        <w:t>Komora</w:t>
      </w:r>
      <w:r w:rsidR="006062F2" w:rsidRPr="00D51C77">
        <w:rPr>
          <w:rFonts w:ascii="Times New Roman" w:hAnsi="Times New Roman" w:cs="Times New Roman"/>
          <w:sz w:val="24"/>
          <w:szCs w:val="24"/>
        </w:rPr>
        <w:t xml:space="preserve"> prostřednictvím Vzdělávacího střediska Komory v Praze nebo Regionálního vzdělávacího střediska Komory v Olomouci</w:t>
      </w:r>
      <w:r w:rsidRPr="00D51C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87ED4" w14:textId="77777777" w:rsidR="00896B1D" w:rsidRPr="00D51C77" w:rsidRDefault="00896B1D" w:rsidP="00C95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62FF4" w14:textId="77777777" w:rsidR="00896B1D" w:rsidRPr="00C114CD" w:rsidRDefault="00896B1D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47116" w:rsidRPr="00C114C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F7A9288" w14:textId="77777777" w:rsidR="005656AD" w:rsidRPr="00C114CD" w:rsidRDefault="005656AD" w:rsidP="0056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14:paraId="4C54708E" w14:textId="77777777" w:rsidR="005656AD" w:rsidRPr="00D51C77" w:rsidRDefault="005656AD" w:rsidP="0056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EC8E2" w14:textId="0F2FAF77" w:rsidR="005656AD" w:rsidRPr="00D51C77" w:rsidRDefault="005656AD" w:rsidP="0056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>Zrušuje se opatření představenstva Komory č. OP</w:t>
      </w:r>
      <w:r w:rsidR="00EF446D">
        <w:rPr>
          <w:rFonts w:ascii="Times New Roman" w:hAnsi="Times New Roman" w:cs="Times New Roman"/>
          <w:sz w:val="24"/>
          <w:szCs w:val="24"/>
        </w:rPr>
        <w:t>4</w:t>
      </w:r>
      <w:r w:rsidRPr="00D51C77">
        <w:rPr>
          <w:rFonts w:ascii="Times New Roman" w:hAnsi="Times New Roman" w:cs="Times New Roman"/>
          <w:sz w:val="24"/>
          <w:szCs w:val="24"/>
        </w:rPr>
        <w:t>/20</w:t>
      </w:r>
      <w:r w:rsidR="00EF446D">
        <w:rPr>
          <w:rFonts w:ascii="Times New Roman" w:hAnsi="Times New Roman" w:cs="Times New Roman"/>
          <w:sz w:val="24"/>
          <w:szCs w:val="24"/>
        </w:rPr>
        <w:t>16</w:t>
      </w:r>
      <w:r w:rsidRPr="00D51C77">
        <w:rPr>
          <w:rFonts w:ascii="Times New Roman" w:hAnsi="Times New Roman" w:cs="Times New Roman"/>
          <w:sz w:val="24"/>
          <w:szCs w:val="24"/>
        </w:rPr>
        <w:t>.</w:t>
      </w:r>
    </w:p>
    <w:p w14:paraId="5B1D6303" w14:textId="77777777" w:rsidR="005656AD" w:rsidRPr="00D51C77" w:rsidRDefault="005656AD" w:rsidP="00C95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C4CEC" w14:textId="77777777" w:rsidR="005656AD" w:rsidRPr="00C114CD" w:rsidRDefault="005656AD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2CFC39E" w14:textId="77777777" w:rsidR="00C95586" w:rsidRPr="00C114CD" w:rsidRDefault="00C95586" w:rsidP="00C9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4CD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77903B9E" w14:textId="77777777" w:rsidR="00C95586" w:rsidRPr="00D51C77" w:rsidRDefault="00C95586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C1795" w14:textId="0D2083EE" w:rsidR="00C95586" w:rsidRPr="00D51C77" w:rsidRDefault="00C95586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t>Toto opatření představenstva nabývá účinnosti 1. ledna 20</w:t>
      </w:r>
      <w:r w:rsidR="00EF446D">
        <w:rPr>
          <w:rFonts w:ascii="Times New Roman" w:hAnsi="Times New Roman" w:cs="Times New Roman"/>
          <w:sz w:val="24"/>
          <w:szCs w:val="24"/>
        </w:rPr>
        <w:t>21</w:t>
      </w:r>
      <w:r w:rsidRPr="00D51C77">
        <w:rPr>
          <w:rFonts w:ascii="Times New Roman" w:hAnsi="Times New Roman" w:cs="Times New Roman"/>
          <w:sz w:val="24"/>
          <w:szCs w:val="24"/>
        </w:rPr>
        <w:t>.</w:t>
      </w:r>
    </w:p>
    <w:p w14:paraId="4931915C" w14:textId="77777777" w:rsidR="00C95586" w:rsidRPr="00D51C77" w:rsidRDefault="00C95586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2555C" w14:textId="77777777" w:rsidR="00147116" w:rsidRPr="00D51C77" w:rsidRDefault="00147116">
      <w:pPr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br w:type="page"/>
      </w:r>
    </w:p>
    <w:p w14:paraId="27B16338" w14:textId="77777777" w:rsidR="00147116" w:rsidRPr="00D51C77" w:rsidRDefault="00147116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 w:rsidRPr="00D51C77">
        <w:rPr>
          <w:rFonts w:ascii="Times New Roman" w:hAnsi="Times New Roman" w:cs="Times New Roman"/>
          <w:sz w:val="24"/>
          <w:szCs w:val="24"/>
        </w:rPr>
        <w:tab/>
        <w:t>Předepsané vzdělávací akce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3415"/>
        <w:gridCol w:w="4457"/>
      </w:tblGrid>
      <w:tr w:rsidR="00F82EF9" w:rsidRPr="00D51C77" w14:paraId="2A35594B" w14:textId="77777777" w:rsidTr="005E06A0">
        <w:trPr>
          <w:cantSplit/>
          <w:tblHeader/>
        </w:trPr>
        <w:tc>
          <w:tcPr>
            <w:tcW w:w="1190" w:type="dxa"/>
          </w:tcPr>
          <w:p w14:paraId="148B72B3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kód</w:t>
            </w:r>
          </w:p>
        </w:tc>
        <w:tc>
          <w:tcPr>
            <w:tcW w:w="3415" w:type="dxa"/>
          </w:tcPr>
          <w:p w14:paraId="44BBFF7D" w14:textId="77777777" w:rsidR="00147116" w:rsidRPr="00D51C77" w:rsidRDefault="00147116" w:rsidP="005E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4457" w:type="dxa"/>
          </w:tcPr>
          <w:p w14:paraId="7B453CAB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náplň</w:t>
            </w:r>
          </w:p>
        </w:tc>
      </w:tr>
      <w:tr w:rsidR="00F82EF9" w:rsidRPr="00D51C77" w14:paraId="001DC404" w14:textId="77777777" w:rsidTr="005E06A0">
        <w:trPr>
          <w:trHeight w:val="1512"/>
          <w:tblHeader/>
        </w:trPr>
        <w:tc>
          <w:tcPr>
            <w:tcW w:w="1190" w:type="dxa"/>
          </w:tcPr>
          <w:p w14:paraId="5BAF5EBF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VPPZL1</w:t>
            </w:r>
          </w:p>
        </w:tc>
        <w:tc>
          <w:tcPr>
            <w:tcW w:w="3415" w:type="dxa"/>
          </w:tcPr>
          <w:p w14:paraId="71D2B0AE" w14:textId="77777777" w:rsidR="00147116" w:rsidRPr="00D51C77" w:rsidRDefault="00147116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Komplexní vyšetření pacienta a stanovení léčebného plánu </w:t>
            </w:r>
          </w:p>
        </w:tc>
        <w:tc>
          <w:tcPr>
            <w:tcW w:w="4457" w:type="dxa"/>
          </w:tcPr>
          <w:p w14:paraId="3AD1079C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Diagnóza a plán ošetření. Anamnéza, nezbytná vyšetření, RTG interpretace, studijní modely. Stanovení čelistní vztahů – okluze. Aspekty parodontologické, protetické, záchovné a chirurgické stomatologie. Finanční rozvaha plánovaného ošetření.</w:t>
            </w:r>
          </w:p>
        </w:tc>
      </w:tr>
      <w:tr w:rsidR="00F82EF9" w:rsidRPr="00D51C77" w14:paraId="6A909F7C" w14:textId="77777777" w:rsidTr="005E06A0">
        <w:trPr>
          <w:trHeight w:val="981"/>
          <w:tblHeader/>
        </w:trPr>
        <w:tc>
          <w:tcPr>
            <w:tcW w:w="1190" w:type="dxa"/>
          </w:tcPr>
          <w:p w14:paraId="10F586DA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VPPZL2</w:t>
            </w:r>
          </w:p>
        </w:tc>
        <w:tc>
          <w:tcPr>
            <w:tcW w:w="3415" w:type="dxa"/>
          </w:tcPr>
          <w:p w14:paraId="364311EB" w14:textId="77777777" w:rsidR="00147116" w:rsidRPr="00D51C77" w:rsidRDefault="00147116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Prevence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parodontopatií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a základy parodontologie</w:t>
            </w:r>
          </w:p>
        </w:tc>
        <w:tc>
          <w:tcPr>
            <w:tcW w:w="4457" w:type="dxa"/>
          </w:tcPr>
          <w:p w14:paraId="46133979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Základy prevence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parodontopatií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vyšetření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parodontu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plán léčby, léčba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parodontopatií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 Hygienické pomůcky, zásady jejich kombinace, preventivní a léčebný efekt.</w:t>
            </w:r>
          </w:p>
        </w:tc>
      </w:tr>
      <w:tr w:rsidR="00F82EF9" w:rsidRPr="00D51C77" w14:paraId="7BF46301" w14:textId="77777777" w:rsidTr="005E06A0">
        <w:trPr>
          <w:trHeight w:val="1975"/>
          <w:tblHeader/>
        </w:trPr>
        <w:tc>
          <w:tcPr>
            <w:tcW w:w="1190" w:type="dxa"/>
          </w:tcPr>
          <w:p w14:paraId="494351A8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VPPZL3</w:t>
            </w:r>
          </w:p>
        </w:tc>
        <w:tc>
          <w:tcPr>
            <w:tcW w:w="3415" w:type="dxa"/>
          </w:tcPr>
          <w:p w14:paraId="36A06C4E" w14:textId="77777777" w:rsidR="00147116" w:rsidRPr="00D51C77" w:rsidRDefault="00147116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Výplně v záchovné stomatologii</w:t>
            </w:r>
          </w:p>
        </w:tc>
        <w:tc>
          <w:tcPr>
            <w:tcW w:w="4457" w:type="dxa"/>
          </w:tcPr>
          <w:p w14:paraId="4367B0BF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Rozbor ošetření jednotlivých tříd dle Blacka jednotlivými materiály. Popis indikací pro amalgám, kompozit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skloionomer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. Ukázka jednotlivých postupů ošetření, zhodnocení z dlouhodobého hlediska. Použití estetických materiálů při ošetření defektů ve frontální části chrupu. Metoda stratifikace, anatomického vrstvení. Bělení vitální i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postendodontické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EF9" w:rsidRPr="00D51C77" w14:paraId="25952377" w14:textId="77777777" w:rsidTr="005E06A0">
        <w:trPr>
          <w:trHeight w:val="1548"/>
          <w:tblHeader/>
        </w:trPr>
        <w:tc>
          <w:tcPr>
            <w:tcW w:w="1190" w:type="dxa"/>
          </w:tcPr>
          <w:p w14:paraId="69871279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VPPZL4</w:t>
            </w:r>
          </w:p>
        </w:tc>
        <w:tc>
          <w:tcPr>
            <w:tcW w:w="3415" w:type="dxa"/>
          </w:tcPr>
          <w:p w14:paraId="7DDCA88F" w14:textId="77777777" w:rsidR="00147116" w:rsidRPr="00D51C77" w:rsidRDefault="00147116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Endodoncie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EF9"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četně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postendodontického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ošetření</w:t>
            </w:r>
          </w:p>
        </w:tc>
        <w:tc>
          <w:tcPr>
            <w:tcW w:w="4457" w:type="dxa"/>
          </w:tcPr>
          <w:p w14:paraId="153B78C7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Klasické a nové postupy endodontického ošetření. Komplexní endodontické ošetření zubu. Jak správně volit nástroje a materiály. Nejčastější chyby při ošetření a jejich prevence. Možnosti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postendodontické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terapie ve frontálním i laterálním úseku.</w:t>
            </w:r>
          </w:p>
        </w:tc>
      </w:tr>
      <w:tr w:rsidR="00F82EF9" w:rsidRPr="00D51C77" w14:paraId="58EBCF93" w14:textId="77777777" w:rsidTr="005E06A0">
        <w:trPr>
          <w:trHeight w:val="2831"/>
          <w:tblHeader/>
        </w:trPr>
        <w:tc>
          <w:tcPr>
            <w:tcW w:w="1190" w:type="dxa"/>
          </w:tcPr>
          <w:p w14:paraId="657E5668" w14:textId="77777777" w:rsidR="00147116" w:rsidRPr="00D51C77" w:rsidRDefault="0014711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VPPZL5</w:t>
            </w:r>
          </w:p>
        </w:tc>
        <w:tc>
          <w:tcPr>
            <w:tcW w:w="3415" w:type="dxa"/>
          </w:tcPr>
          <w:p w14:paraId="3AC5CD3E" w14:textId="77777777" w:rsidR="00147116" w:rsidRPr="00D51C77" w:rsidRDefault="004F30B6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Cs/>
                <w:sz w:val="24"/>
                <w:szCs w:val="24"/>
              </w:rPr>
              <w:t>Dětský pacient v ordinaci praktického zubního lékaře</w:t>
            </w:r>
          </w:p>
        </w:tc>
        <w:tc>
          <w:tcPr>
            <w:tcW w:w="4457" w:type="dxa"/>
          </w:tcPr>
          <w:p w14:paraId="515F87DB" w14:textId="77777777" w:rsidR="00147116" w:rsidRPr="00D51C77" w:rsidRDefault="004F30B6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Ošetření dočasného chrupu (</w:t>
            </w:r>
            <w:r w:rsidRPr="00D51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prevence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26503"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Poruchy prořezávání zubů. 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Přehled orální patologie v dětském věku</w:t>
            </w:r>
            <w:r w:rsidR="00926503" w:rsidRPr="00D51C77">
              <w:rPr>
                <w:rFonts w:ascii="Times New Roman" w:hAnsi="Times New Roman" w:cs="Times New Roman"/>
                <w:sz w:val="24"/>
                <w:szCs w:val="24"/>
              </w:rPr>
              <w:t>. Úrazy zubů u dětí.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EF9" w:rsidRPr="00D51C77" w14:paraId="5201EDF4" w14:textId="77777777" w:rsidTr="005E06A0">
        <w:trPr>
          <w:tblHeader/>
        </w:trPr>
        <w:tc>
          <w:tcPr>
            <w:tcW w:w="1190" w:type="dxa"/>
          </w:tcPr>
          <w:p w14:paraId="69870D45" w14:textId="77777777" w:rsidR="00147116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VPPZL6</w:t>
            </w:r>
          </w:p>
        </w:tc>
        <w:tc>
          <w:tcPr>
            <w:tcW w:w="3415" w:type="dxa"/>
          </w:tcPr>
          <w:p w14:paraId="7D150C38" w14:textId="77777777" w:rsidR="00147116" w:rsidRPr="00D51C77" w:rsidRDefault="00526829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Zásady protetického plánování, mezioborová spolupráce</w:t>
            </w:r>
          </w:p>
        </w:tc>
        <w:tc>
          <w:tcPr>
            <w:tcW w:w="4457" w:type="dxa"/>
          </w:tcPr>
          <w:p w14:paraId="2B82BFB9" w14:textId="77777777" w:rsidR="00147116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Zásady sestavení komplexního léčebného plánu ošetření chrupu: defekty chrupu a význam biologického faktoru, funkční stav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stomatognátního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systému – základní funkční analýza, klinické vyšetření v. modelová analýza, využití fotodokumentace. Základní typy defektů a možnosti jejich ošetření: malé, velké mezery v zubním oblouku, zkrácený zubní oblouk, bezzubá čelist, chrup s oslabeným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parodontem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. Přehled pravidel při estetických rekonstrukcích chrupu a jejich aplikace v praxi,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wax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up,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mock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up. Obecné principy mezioborové 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spolupráce – význam parodontologie, ortodoncie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dento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-alveolární nebo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maxilofaciální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chirurgie a jejich místo v komplexním léčebném plánu.</w:t>
            </w:r>
          </w:p>
        </w:tc>
      </w:tr>
      <w:tr w:rsidR="00F82EF9" w:rsidRPr="00D51C77" w14:paraId="799226A4" w14:textId="77777777" w:rsidTr="005E06A0">
        <w:trPr>
          <w:trHeight w:val="1700"/>
          <w:tblHeader/>
        </w:trPr>
        <w:tc>
          <w:tcPr>
            <w:tcW w:w="1190" w:type="dxa"/>
          </w:tcPr>
          <w:p w14:paraId="2F128A00" w14:textId="77777777" w:rsidR="00147116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VPPZL7</w:t>
            </w:r>
          </w:p>
        </w:tc>
        <w:tc>
          <w:tcPr>
            <w:tcW w:w="3415" w:type="dxa"/>
          </w:tcPr>
          <w:p w14:paraId="7544EC1A" w14:textId="77777777" w:rsidR="00147116" w:rsidRPr="00D51C77" w:rsidRDefault="00526829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Materiály a technologie v zubní protetice</w:t>
            </w:r>
          </w:p>
        </w:tc>
        <w:tc>
          <w:tcPr>
            <w:tcW w:w="4457" w:type="dxa"/>
          </w:tcPr>
          <w:p w14:paraId="702293EF" w14:textId="77777777" w:rsidR="00147116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Přehled hlavních a pomocných materiálů v protetice. Problematika biokompatibility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biotolerance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protetických materiálů, kožní testy, MELISA, jejich interpretace a význam pro praxi. Zirkon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disilikát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– vlastnosti, indikace, způsoby cementování. CAD/CAM technologie – principy, systémy, materiály.</w:t>
            </w:r>
          </w:p>
        </w:tc>
      </w:tr>
      <w:tr w:rsidR="00526829" w:rsidRPr="00D51C77" w14:paraId="517149C5" w14:textId="77777777" w:rsidTr="005E06A0">
        <w:trPr>
          <w:trHeight w:val="1979"/>
          <w:tblHeader/>
        </w:trPr>
        <w:tc>
          <w:tcPr>
            <w:tcW w:w="1190" w:type="dxa"/>
          </w:tcPr>
          <w:p w14:paraId="76E1544A" w14:textId="77777777" w:rsidR="00526829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VPPZL8</w:t>
            </w:r>
          </w:p>
        </w:tc>
        <w:tc>
          <w:tcPr>
            <w:tcW w:w="3415" w:type="dxa"/>
          </w:tcPr>
          <w:p w14:paraId="3D6B9EAF" w14:textId="77777777" w:rsidR="00526829" w:rsidRPr="00D51C77" w:rsidRDefault="00526829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Chirurgie v praxi zubního lékaře, onkologické minimum, úrazy zubů</w:t>
            </w:r>
          </w:p>
        </w:tc>
        <w:tc>
          <w:tcPr>
            <w:tcW w:w="4457" w:type="dxa"/>
          </w:tcPr>
          <w:p w14:paraId="64B36688" w14:textId="77777777" w:rsidR="00526829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Vyšetření chirurgického pacienta, instrumentárium a názvosloví v dentoalveolární chirurgii, aseptické postupy, šití a šicí materiály, anestezie a komplikace; akutní ošetření v dentoalveolární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chirurgii - incize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A81" w:rsidRPr="00D51C77">
              <w:rPr>
                <w:rFonts w:ascii="Times New Roman" w:hAnsi="Times New Roman" w:cs="Times New Roman"/>
                <w:sz w:val="24"/>
                <w:szCs w:val="24"/>
              </w:rPr>
              <w:t>dentitio</w:t>
            </w:r>
            <w:proofErr w:type="spellEnd"/>
            <w:r w:rsidR="00F24A81"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A81" w:rsidRPr="00D51C77">
              <w:rPr>
                <w:rFonts w:ascii="Times New Roman" w:hAnsi="Times New Roman" w:cs="Times New Roman"/>
                <w:sz w:val="24"/>
                <w:szCs w:val="24"/>
              </w:rPr>
              <w:t>difficilis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; extrakce zubů - přehled, komplikace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perextrakční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postextrakční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egalizace; revize kořenového hrotu a retrográdní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endodoncie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829" w:rsidRPr="00D51C77" w14:paraId="100F6EB8" w14:textId="77777777" w:rsidTr="005E06A0">
        <w:trPr>
          <w:trHeight w:val="973"/>
          <w:tblHeader/>
        </w:trPr>
        <w:tc>
          <w:tcPr>
            <w:tcW w:w="1190" w:type="dxa"/>
          </w:tcPr>
          <w:p w14:paraId="0227E6A8" w14:textId="77777777" w:rsidR="00526829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VPPZL9</w:t>
            </w:r>
          </w:p>
        </w:tc>
        <w:tc>
          <w:tcPr>
            <w:tcW w:w="3415" w:type="dxa"/>
          </w:tcPr>
          <w:p w14:paraId="4FC87793" w14:textId="77777777" w:rsidR="00526829" w:rsidRPr="00D51C77" w:rsidRDefault="00526829" w:rsidP="005E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Ošetření rizikového pacienta, základy farmakologie v praxi zubního lékaře, fokální infekce</w:t>
            </w:r>
          </w:p>
        </w:tc>
        <w:tc>
          <w:tcPr>
            <w:tcW w:w="4457" w:type="dxa"/>
          </w:tcPr>
          <w:p w14:paraId="58A01340" w14:textId="77777777" w:rsidR="00526829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Základy ošetřování pacientů se zdravotním rizikem. Obecný přístup k rizikovému pacientovi. Základy farmakologie v praxi zubního lékaře. Řešení fokální infekce. Kazuistiky z praxe.</w:t>
            </w:r>
          </w:p>
        </w:tc>
      </w:tr>
      <w:tr w:rsidR="00526829" w:rsidRPr="00D51C77" w14:paraId="716A8BE9" w14:textId="77777777" w:rsidTr="005E06A0">
        <w:trPr>
          <w:trHeight w:val="547"/>
          <w:tblHeader/>
        </w:trPr>
        <w:tc>
          <w:tcPr>
            <w:tcW w:w="1190" w:type="dxa"/>
          </w:tcPr>
          <w:p w14:paraId="3B1754F9" w14:textId="77777777" w:rsidR="00526829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VPPZL10</w:t>
            </w:r>
          </w:p>
        </w:tc>
        <w:tc>
          <w:tcPr>
            <w:tcW w:w="3415" w:type="dxa"/>
          </w:tcPr>
          <w:p w14:paraId="09239CEB" w14:textId="77777777" w:rsidR="00526829" w:rsidRPr="00D51C77" w:rsidRDefault="00526829" w:rsidP="005E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Zobrazovací metody a radiologická hygiena</w:t>
            </w:r>
          </w:p>
        </w:tc>
        <w:tc>
          <w:tcPr>
            <w:tcW w:w="4457" w:type="dxa"/>
          </w:tcPr>
          <w:p w14:paraId="36478949" w14:textId="77777777" w:rsidR="00526829" w:rsidRPr="00D51C77" w:rsidRDefault="00317587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RTG vyšetřovací techniky a radiační hygiena. Přednáška je, po přehledu základních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vyšetřovacích metod, zaměřena především na 3D RTG vyšetřovací metody. Soustředíme se na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Cone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Tomography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- CBCT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 Probereme základní technologii a funkce CBCT, výhody, nevýhody, indikace a kontraindikace této relativně nové vyšetřovací metody. Dále se zaměříme na základní fyzikální radiační jednotky a povinnosti, které vyplývají pro lékaře při provozování RTG přístrojů z pohledu radiační hygieny. Nakonec se budeme věnovat klinickým případům a postupům, u kterých můžeme využít CBCT lépe než konvenční RTG vyšetření.</w:t>
            </w:r>
          </w:p>
        </w:tc>
      </w:tr>
      <w:tr w:rsidR="00526829" w:rsidRPr="00D51C77" w14:paraId="209AA9FC" w14:textId="77777777" w:rsidTr="005E06A0">
        <w:trPr>
          <w:tblHeader/>
        </w:trPr>
        <w:tc>
          <w:tcPr>
            <w:tcW w:w="1190" w:type="dxa"/>
          </w:tcPr>
          <w:p w14:paraId="1F86540C" w14:textId="77777777" w:rsidR="00526829" w:rsidRPr="00D51C77" w:rsidRDefault="00526829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VPPZL11</w:t>
            </w:r>
          </w:p>
        </w:tc>
        <w:tc>
          <w:tcPr>
            <w:tcW w:w="3415" w:type="dxa"/>
          </w:tcPr>
          <w:p w14:paraId="7F530122" w14:textId="3651782D" w:rsidR="00526829" w:rsidRPr="00D51C77" w:rsidRDefault="007E12CB" w:rsidP="005E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náhlých příhod v ordinaci zubního lékaře</w:t>
            </w:r>
          </w:p>
        </w:tc>
        <w:tc>
          <w:tcPr>
            <w:tcW w:w="4457" w:type="dxa"/>
          </w:tcPr>
          <w:p w14:paraId="2E5F7F12" w14:textId="77777777" w:rsidR="00526829" w:rsidRPr="00D51C77" w:rsidRDefault="0077666C" w:rsidP="005E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Základní algoritmy ošetřování jednotlivých skupin pacientů. Nejčastější náhlé příhody v zubní praxi, technické vybavení a připravenost personálu. Protišoková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lékárna - vhodná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a volitelná léčiva. Novinky a trendy v neodkladné péči. Kazuistiky z praxe.</w:t>
            </w:r>
          </w:p>
        </w:tc>
      </w:tr>
    </w:tbl>
    <w:p w14:paraId="6877F738" w14:textId="77777777" w:rsidR="00F82EF9" w:rsidRPr="00D51C77" w:rsidRDefault="00F82EF9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14E8" w14:textId="77777777" w:rsidR="00F82EF9" w:rsidRPr="00D51C77" w:rsidRDefault="00F82EF9">
      <w:pPr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br w:type="page"/>
      </w:r>
    </w:p>
    <w:p w14:paraId="7DB2E1E4" w14:textId="53B288D0" w:rsidR="00147116" w:rsidRPr="00D51C77" w:rsidRDefault="00F82EF9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77">
        <w:rPr>
          <w:rFonts w:ascii="Times New Roman" w:hAnsi="Times New Roman" w:cs="Times New Roman"/>
          <w:sz w:val="24"/>
          <w:szCs w:val="24"/>
        </w:rPr>
        <w:lastRenderedPageBreak/>
        <w:t>Příloha č. 2</w:t>
      </w:r>
      <w:r w:rsidR="63E8128A" w:rsidRPr="00D51C77">
        <w:rPr>
          <w:rFonts w:ascii="Times New Roman" w:hAnsi="Times New Roman" w:cs="Times New Roman"/>
          <w:sz w:val="24"/>
          <w:szCs w:val="24"/>
        </w:rPr>
        <w:t xml:space="preserve"> </w:t>
      </w:r>
      <w:r w:rsidRPr="00D51C77">
        <w:rPr>
          <w:rFonts w:ascii="Times New Roman" w:hAnsi="Times New Roman" w:cs="Times New Roman"/>
          <w:sz w:val="24"/>
          <w:szCs w:val="24"/>
        </w:rPr>
        <w:tab/>
        <w:t>Doporučené vzdělávací akce</w:t>
      </w:r>
    </w:p>
    <w:p w14:paraId="5290F152" w14:textId="77777777" w:rsidR="00F82EF9" w:rsidRPr="00D51C77" w:rsidRDefault="00F82EF9" w:rsidP="0066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3"/>
        <w:gridCol w:w="3317"/>
        <w:gridCol w:w="4382"/>
      </w:tblGrid>
      <w:tr w:rsidR="00F82EF9" w:rsidRPr="00D51C77" w14:paraId="54319730" w14:textId="77777777" w:rsidTr="002B2631">
        <w:trPr>
          <w:cantSplit/>
          <w:tblHeader/>
        </w:trPr>
        <w:tc>
          <w:tcPr>
            <w:tcW w:w="959" w:type="dxa"/>
          </w:tcPr>
          <w:p w14:paraId="1D86BC9E" w14:textId="77777777" w:rsidR="00F82EF9" w:rsidRPr="00D51C77" w:rsidRDefault="00F82EF9" w:rsidP="002B2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kód</w:t>
            </w:r>
          </w:p>
        </w:tc>
        <w:tc>
          <w:tcPr>
            <w:tcW w:w="3544" w:type="dxa"/>
          </w:tcPr>
          <w:p w14:paraId="54FECD78" w14:textId="77777777" w:rsidR="00F82EF9" w:rsidRPr="00D51C77" w:rsidRDefault="00F82EF9" w:rsidP="002B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4709" w:type="dxa"/>
          </w:tcPr>
          <w:p w14:paraId="4E1D46CA" w14:textId="77777777" w:rsidR="00F82EF9" w:rsidRPr="00D51C77" w:rsidRDefault="00F82EF9" w:rsidP="002B2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b/>
                <w:sz w:val="24"/>
                <w:szCs w:val="24"/>
              </w:rPr>
              <w:t>náplň</w:t>
            </w:r>
          </w:p>
        </w:tc>
      </w:tr>
      <w:tr w:rsidR="00F82EF9" w:rsidRPr="00D51C77" w14:paraId="59CA6D4F" w14:textId="77777777" w:rsidTr="002B2631">
        <w:trPr>
          <w:trHeight w:val="1512"/>
          <w:tblHeader/>
        </w:trPr>
        <w:tc>
          <w:tcPr>
            <w:tcW w:w="959" w:type="dxa"/>
          </w:tcPr>
          <w:p w14:paraId="0D81E42F" w14:textId="77777777" w:rsidR="00F82EF9" w:rsidRPr="00D51C77" w:rsidRDefault="00136891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DVPPZL1</w:t>
            </w:r>
          </w:p>
        </w:tc>
        <w:tc>
          <w:tcPr>
            <w:tcW w:w="3544" w:type="dxa"/>
          </w:tcPr>
          <w:p w14:paraId="4B1B8716" w14:textId="77777777" w:rsidR="00F82EF9" w:rsidRPr="00D51C77" w:rsidRDefault="00F82EF9" w:rsidP="002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Právní a ekonomické aspekty vedení soukromé zubní praxe</w:t>
            </w:r>
          </w:p>
        </w:tc>
        <w:tc>
          <w:tcPr>
            <w:tcW w:w="4709" w:type="dxa"/>
          </w:tcPr>
          <w:p w14:paraId="7A1A30AE" w14:textId="77777777" w:rsidR="00F82EF9" w:rsidRPr="00D51C77" w:rsidRDefault="00B8679F" w:rsidP="00B8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Možnosti, práva a povinnosti absolventa v privátní praxi. Zubní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lékař - podnikatel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 Vztahy pracovněprávní a ekonomické, zřízení privátní praxe, účetnictví a kalkulace cen, ocenění privátní praxe pro nákup a prodej. Komentář k nezbytné dokumentaci v ordinaci, jak zpracovat chybějící materiály. Právní aspekty provozu privátní praxe, předávání a možnosti prodeje privátní praxe.</w:t>
            </w:r>
          </w:p>
        </w:tc>
      </w:tr>
      <w:tr w:rsidR="00F82EF9" w:rsidRPr="00D51C77" w14:paraId="58711062" w14:textId="77777777" w:rsidTr="002B2631">
        <w:trPr>
          <w:trHeight w:val="981"/>
          <w:tblHeader/>
        </w:trPr>
        <w:tc>
          <w:tcPr>
            <w:tcW w:w="959" w:type="dxa"/>
          </w:tcPr>
          <w:p w14:paraId="45D05155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DVPPZL2</w:t>
            </w:r>
          </w:p>
        </w:tc>
        <w:tc>
          <w:tcPr>
            <w:tcW w:w="3544" w:type="dxa"/>
          </w:tcPr>
          <w:p w14:paraId="63CCF75A" w14:textId="77777777" w:rsidR="00F82EF9" w:rsidRPr="00D51C77" w:rsidRDefault="00F82EF9" w:rsidP="002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Komunikace s pacientem a etika</w:t>
            </w:r>
          </w:p>
        </w:tc>
        <w:tc>
          <w:tcPr>
            <w:tcW w:w="4709" w:type="dxa"/>
          </w:tcPr>
          <w:p w14:paraId="493A30DB" w14:textId="77777777" w:rsidR="00F82EF9" w:rsidRPr="00D51C77" w:rsidRDefault="00B8679F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Komunikace s dětským, dospělým a handicapovaným pacientem ve stomatologii, neverbální komunikace, komunikace v týmu, lékařské tajemství, povinná mlčenlivost. Pravidla a zákonitosti verbální a neverbální komunikace.</w:t>
            </w:r>
          </w:p>
        </w:tc>
      </w:tr>
      <w:tr w:rsidR="00F82EF9" w:rsidRPr="00D51C77" w14:paraId="38160BBB" w14:textId="77777777" w:rsidTr="002B2631">
        <w:trPr>
          <w:trHeight w:val="1975"/>
          <w:tblHeader/>
        </w:trPr>
        <w:tc>
          <w:tcPr>
            <w:tcW w:w="959" w:type="dxa"/>
          </w:tcPr>
          <w:p w14:paraId="048E5CBE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DVPPZL3</w:t>
            </w:r>
          </w:p>
        </w:tc>
        <w:tc>
          <w:tcPr>
            <w:tcW w:w="3544" w:type="dxa"/>
          </w:tcPr>
          <w:p w14:paraId="64889008" w14:textId="77777777" w:rsidR="00F82EF9" w:rsidRPr="00D51C77" w:rsidRDefault="00F82EF9" w:rsidP="002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Hygienické předpisy</w:t>
            </w:r>
          </w:p>
        </w:tc>
        <w:tc>
          <w:tcPr>
            <w:tcW w:w="4709" w:type="dxa"/>
          </w:tcPr>
          <w:p w14:paraId="660A66C9" w14:textId="77777777" w:rsidR="00F82EF9" w:rsidRPr="00D51C77" w:rsidRDefault="00B8679F" w:rsidP="00B8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Hygienické programy ve stomatologické praxi, manipulace s biologickým materiálem, dezinfekce, jednorázové a ochranné pomůcky, předpisy, normy.</w:t>
            </w:r>
          </w:p>
        </w:tc>
      </w:tr>
      <w:tr w:rsidR="00F82EF9" w:rsidRPr="00D51C77" w14:paraId="5F691B4A" w14:textId="77777777" w:rsidTr="002B2631">
        <w:trPr>
          <w:trHeight w:val="2831"/>
          <w:tblHeader/>
        </w:trPr>
        <w:tc>
          <w:tcPr>
            <w:tcW w:w="959" w:type="dxa"/>
          </w:tcPr>
          <w:p w14:paraId="40CCCF30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DVPPZL4</w:t>
            </w:r>
          </w:p>
        </w:tc>
        <w:tc>
          <w:tcPr>
            <w:tcW w:w="3544" w:type="dxa"/>
          </w:tcPr>
          <w:p w14:paraId="0C353E81" w14:textId="77777777" w:rsidR="00F82EF9" w:rsidRPr="00D51C77" w:rsidRDefault="002B6151" w:rsidP="002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Onkologické minimum</w:t>
            </w:r>
          </w:p>
        </w:tc>
        <w:tc>
          <w:tcPr>
            <w:tcW w:w="4709" w:type="dxa"/>
          </w:tcPr>
          <w:p w14:paraId="71AB9B13" w14:textId="77777777" w:rsidR="00F82EF9" w:rsidRPr="00D51C77" w:rsidRDefault="004D5206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Maxilofaciální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onkologie a prekancerózy. Včasná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diagnosa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, vyšetření. TNM klasifikace, terapie onkologických onemocnění, benigní a maligní nádory, prekancerózy. Dispenzarizace.</w:t>
            </w:r>
          </w:p>
        </w:tc>
      </w:tr>
      <w:tr w:rsidR="00F82EF9" w:rsidRPr="00D51C77" w14:paraId="7FC10DA4" w14:textId="77777777" w:rsidTr="002B6151">
        <w:trPr>
          <w:trHeight w:val="987"/>
          <w:tblHeader/>
        </w:trPr>
        <w:tc>
          <w:tcPr>
            <w:tcW w:w="959" w:type="dxa"/>
          </w:tcPr>
          <w:p w14:paraId="5E48DB98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DVPPZL5</w:t>
            </w:r>
          </w:p>
        </w:tc>
        <w:tc>
          <w:tcPr>
            <w:tcW w:w="3544" w:type="dxa"/>
          </w:tcPr>
          <w:p w14:paraId="2C1D3DC5" w14:textId="77777777" w:rsidR="00F82EF9" w:rsidRPr="00D51C77" w:rsidRDefault="002B6151" w:rsidP="002B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Úrazy zubů</w:t>
            </w:r>
          </w:p>
        </w:tc>
        <w:tc>
          <w:tcPr>
            <w:tcW w:w="4709" w:type="dxa"/>
          </w:tcPr>
          <w:p w14:paraId="78D78974" w14:textId="77777777" w:rsidR="00F82EF9" w:rsidRPr="00D51C77" w:rsidRDefault="004D5206" w:rsidP="004D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Etiologie úrazů zubů v dětském věku. Klasifikace poranění tvrdých zubních tkání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parodontu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. Úrazy zubů ve stálé dentici, úrazy zubní korunky, úrazy kořene, úrazy korunky a kořene. Komplikace úrazů zubů ve stálé dentici. Úrazy závěsného aparátu stálých zubů (kontuze, subluxace, luxace,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avulze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). Komplikace úrazů závěsného aparátu stálých zubů. Úrazy zubů v dočasné dentici, komplikace úrazů zubů v dočasné dentici (s ohledem na stálou dentici). Poranění alveolárního výběžku čelistí. Prevence úrazů zubů u dětí.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2EF9" w:rsidRPr="00D51C77" w14:paraId="079FAFDF" w14:textId="77777777" w:rsidTr="002B2631">
        <w:trPr>
          <w:trHeight w:val="1700"/>
          <w:tblHeader/>
        </w:trPr>
        <w:tc>
          <w:tcPr>
            <w:tcW w:w="959" w:type="dxa"/>
          </w:tcPr>
          <w:p w14:paraId="2C353900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DVPPZL6</w:t>
            </w:r>
          </w:p>
        </w:tc>
        <w:tc>
          <w:tcPr>
            <w:tcW w:w="3544" w:type="dxa"/>
          </w:tcPr>
          <w:p w14:paraId="10D8888C" w14:textId="77777777" w:rsidR="00F82EF9" w:rsidRPr="00D51C77" w:rsidRDefault="00136891" w:rsidP="001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Ortodontické minimum pro PZL</w:t>
            </w:r>
          </w:p>
        </w:tc>
        <w:tc>
          <w:tcPr>
            <w:tcW w:w="4709" w:type="dxa"/>
          </w:tcPr>
          <w:p w14:paraId="5DFB2AA4" w14:textId="77777777" w:rsidR="00F82EF9" w:rsidRPr="00D51C77" w:rsidRDefault="004D5206" w:rsidP="004D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Interdisciplinární aspekty oboru, využití ortodontické léčby při plánování komplexního vyšetření. Součástí odborného programu je také konzultace.</w:t>
            </w:r>
          </w:p>
        </w:tc>
      </w:tr>
      <w:tr w:rsidR="00F82EF9" w:rsidRPr="00D51C77" w14:paraId="6BEB9E44" w14:textId="77777777" w:rsidTr="002B6151">
        <w:trPr>
          <w:trHeight w:val="1417"/>
          <w:tblHeader/>
        </w:trPr>
        <w:tc>
          <w:tcPr>
            <w:tcW w:w="959" w:type="dxa"/>
          </w:tcPr>
          <w:p w14:paraId="142AACC5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DVPPZL7</w:t>
            </w:r>
          </w:p>
        </w:tc>
        <w:tc>
          <w:tcPr>
            <w:tcW w:w="3544" w:type="dxa"/>
          </w:tcPr>
          <w:p w14:paraId="4432C23B" w14:textId="77777777" w:rsidR="00F82EF9" w:rsidRPr="00D51C77" w:rsidRDefault="002B6151" w:rsidP="002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Zásuvné spoje a hybridní náhrady</w:t>
            </w:r>
          </w:p>
        </w:tc>
        <w:tc>
          <w:tcPr>
            <w:tcW w:w="4709" w:type="dxa"/>
          </w:tcPr>
          <w:p w14:paraId="6A5221E8" w14:textId="77777777" w:rsidR="00F82EF9" w:rsidRPr="00D51C77" w:rsidRDefault="00FF0296" w:rsidP="00FF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Charakteristika zubních náhrad kotvených zásuvnými spoji – typy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attachmentů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(precizní,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semiprecizní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; kulovité, válcovité, lamelové; intra-,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extrakoronární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axiální; západky – jejich charakteristiky a použití), konstrukční zásady fixní a snímatelné části kombinované rekonstrukce kotvené zásuvnými spoji. Pracovní postup zhotovení kombinované rekonstrukce s částečnou snímatelnou protézou – analýza situace v ordinaci a v laboratoři, indikace, výběr typu zásuvného spoje, ordinační a laboratorní pracovní postup, odevzdání.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domácí hygienická péče. Hybridní protetika – charakteristika a indikace, způsoby kotvení hybridní protézy, konstrukční typy. Ordinační a laboratorní pracovní postup.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, domácí hygienická péče.</w:t>
            </w:r>
          </w:p>
        </w:tc>
      </w:tr>
      <w:tr w:rsidR="00F82EF9" w:rsidRPr="00D51C77" w14:paraId="78DAC1A7" w14:textId="77777777" w:rsidTr="002B2631">
        <w:trPr>
          <w:trHeight w:val="973"/>
          <w:tblHeader/>
        </w:trPr>
        <w:tc>
          <w:tcPr>
            <w:tcW w:w="959" w:type="dxa"/>
          </w:tcPr>
          <w:p w14:paraId="49238080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DVPPZL8</w:t>
            </w:r>
          </w:p>
        </w:tc>
        <w:tc>
          <w:tcPr>
            <w:tcW w:w="3544" w:type="dxa"/>
          </w:tcPr>
          <w:p w14:paraId="72059A9E" w14:textId="77777777" w:rsidR="00F82EF9" w:rsidRPr="00D51C77" w:rsidRDefault="002B6151" w:rsidP="00F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Geroprotetika</w:t>
            </w:r>
            <w:proofErr w:type="spellEnd"/>
          </w:p>
        </w:tc>
        <w:tc>
          <w:tcPr>
            <w:tcW w:w="4709" w:type="dxa"/>
          </w:tcPr>
          <w:p w14:paraId="5C09A3B8" w14:textId="77777777" w:rsidR="00F82EF9" w:rsidRPr="00D51C77" w:rsidRDefault="00FF0296" w:rsidP="00FF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Obecná specifika stomatologického ošetřování seniorů (vliv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polymorbidity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multimedikamentózní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terapie, fyziologické a patologické změny orgánových a systémových funkcí, psychosociální aspekty). Problematika renovací stávající protetiky. Specifika fixní a kombinované protetiky u pacientů vyšších věkových kategorií. Celkové snímatelné protézy – modifikace pracovního postupu (zavřené otiskování, výroba repliky původní protézy, význam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rebaze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a podložení).</w:t>
            </w:r>
          </w:p>
        </w:tc>
      </w:tr>
      <w:tr w:rsidR="00F82EF9" w:rsidRPr="00D51C77" w14:paraId="2FEF90E5" w14:textId="77777777" w:rsidTr="002B2631">
        <w:trPr>
          <w:trHeight w:val="547"/>
          <w:tblHeader/>
        </w:trPr>
        <w:tc>
          <w:tcPr>
            <w:tcW w:w="959" w:type="dxa"/>
          </w:tcPr>
          <w:p w14:paraId="7B440E83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DVPPZL9</w:t>
            </w:r>
          </w:p>
        </w:tc>
        <w:tc>
          <w:tcPr>
            <w:tcW w:w="3544" w:type="dxa"/>
          </w:tcPr>
          <w:p w14:paraId="7CEDB8B0" w14:textId="77777777" w:rsidR="00F82EF9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Implantologická protetika</w:t>
            </w:r>
          </w:p>
        </w:tc>
        <w:tc>
          <w:tcPr>
            <w:tcW w:w="4709" w:type="dxa"/>
          </w:tcPr>
          <w:p w14:paraId="46D336F1" w14:textId="77777777" w:rsidR="00F82EF9" w:rsidRPr="00D51C77" w:rsidRDefault="00EE59B2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Základní pojmy v implantologické protetice, instrumentárium, plánování, otiskovací materiály, metody, postupy, komunikace s laboratoří. Výběr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abutmentů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provizorní a finální, výběr materiálů, cementované a šroubované náhrady, výhody, nevýhody. Provizorní náhrada, modelace měkké tkáně. Usazení náhrady, artikulace, dispenzarizace 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EF9" w:rsidRPr="00D51C77" w14:paraId="58D60733" w14:textId="77777777" w:rsidTr="002B6151">
        <w:trPr>
          <w:trHeight w:val="574"/>
          <w:tblHeader/>
        </w:trPr>
        <w:tc>
          <w:tcPr>
            <w:tcW w:w="959" w:type="dxa"/>
          </w:tcPr>
          <w:p w14:paraId="149676C3" w14:textId="77777777" w:rsidR="00F82EF9" w:rsidRPr="00D51C77" w:rsidRDefault="00136891" w:rsidP="00136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DVPPZL10</w:t>
            </w:r>
          </w:p>
        </w:tc>
        <w:tc>
          <w:tcPr>
            <w:tcW w:w="3544" w:type="dxa"/>
          </w:tcPr>
          <w:p w14:paraId="6B56DAF3" w14:textId="77777777" w:rsidR="00F82EF9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Kofferdamové</w:t>
            </w:r>
            <w:proofErr w:type="spell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techniky - praktický</w:t>
            </w:r>
            <w:proofErr w:type="gram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kurz</w:t>
            </w:r>
          </w:p>
        </w:tc>
        <w:tc>
          <w:tcPr>
            <w:tcW w:w="4709" w:type="dxa"/>
          </w:tcPr>
          <w:p w14:paraId="7E1A7A62" w14:textId="77777777" w:rsidR="00F82EF9" w:rsidRPr="00D51C77" w:rsidRDefault="004D5206" w:rsidP="004D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Teoretická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část -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kofferdam</w:t>
            </w:r>
            <w:proofErr w:type="spellEnd"/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účel použití, indikace a kontraindikace, součásti klasického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kofferdamu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. Technika práce s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kofferdamem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modifikace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kofferdamových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technik včetně pomůcek. Praktická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část - manipulace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kofferdamem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, jeho praktická aplikace na modelu v různých modelových situacích. Modifikace a alternativy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minidamová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technika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Optra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-dam,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Opti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–dam.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Belvederova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matrice jako alternativa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kofferdamu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151" w:rsidRPr="00D51C77" w14:paraId="30397138" w14:textId="77777777" w:rsidTr="002B6151">
        <w:trPr>
          <w:trHeight w:val="554"/>
          <w:tblHeader/>
        </w:trPr>
        <w:tc>
          <w:tcPr>
            <w:tcW w:w="959" w:type="dxa"/>
          </w:tcPr>
          <w:p w14:paraId="25DF0446" w14:textId="77777777" w:rsidR="002B6151" w:rsidRPr="00D51C77" w:rsidRDefault="00136891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DVPPZL11</w:t>
            </w:r>
          </w:p>
        </w:tc>
        <w:tc>
          <w:tcPr>
            <w:tcW w:w="3544" w:type="dxa"/>
          </w:tcPr>
          <w:p w14:paraId="77B3B59D" w14:textId="77777777" w:rsidR="002B6151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Techniky šití v orální </w:t>
            </w:r>
            <w:proofErr w:type="gram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chirurgii - praktický</w:t>
            </w:r>
            <w:proofErr w:type="gram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kurz</w:t>
            </w:r>
          </w:p>
        </w:tc>
        <w:tc>
          <w:tcPr>
            <w:tcW w:w="4709" w:type="dxa"/>
          </w:tcPr>
          <w:p w14:paraId="444B2D1D" w14:textId="77777777" w:rsidR="004D5206" w:rsidRPr="00D51C77" w:rsidRDefault="004D5206" w:rsidP="004D5206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Teoretická část: Rána a její hojení. Nástroje. Šicí materiály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-  typy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vláken a jehel. Šicí techniky a uzlení obecně. Řezy a laloky v orální chirurgii. Techniky šití v dutině ústní. </w:t>
            </w:r>
          </w:p>
          <w:p w14:paraId="130E8CBA" w14:textId="77777777" w:rsidR="002B6151" w:rsidRPr="00D51C77" w:rsidRDefault="004D5206" w:rsidP="004D5206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Část praktická na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simulátoru  a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zvířecím modelu: Řezy a laloky v orální chirurgii. Techniky a indikace jednotlivých a pokračovacích stehů bezzubé a ozubené oblasti. Odstranění sutury.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151" w:rsidRPr="00D51C77" w14:paraId="629E3132" w14:textId="77777777" w:rsidTr="002B6151">
        <w:trPr>
          <w:trHeight w:val="562"/>
          <w:tblHeader/>
        </w:trPr>
        <w:tc>
          <w:tcPr>
            <w:tcW w:w="959" w:type="dxa"/>
          </w:tcPr>
          <w:p w14:paraId="26B94D48" w14:textId="77777777" w:rsidR="002B6151" w:rsidRPr="00D51C77" w:rsidRDefault="00136891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DVPPZL12</w:t>
            </w:r>
          </w:p>
        </w:tc>
        <w:tc>
          <w:tcPr>
            <w:tcW w:w="3544" w:type="dxa"/>
          </w:tcPr>
          <w:p w14:paraId="2DD69820" w14:textId="77777777" w:rsidR="002B6151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Intraligamentární</w:t>
            </w:r>
            <w:proofErr w:type="spell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anestezie - praktický</w:t>
            </w:r>
            <w:proofErr w:type="gram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kurz</w:t>
            </w:r>
          </w:p>
        </w:tc>
        <w:tc>
          <w:tcPr>
            <w:tcW w:w="4709" w:type="dxa"/>
          </w:tcPr>
          <w:p w14:paraId="1C96DCB8" w14:textId="77777777" w:rsidR="002B6151" w:rsidRPr="00D51C77" w:rsidRDefault="004D5206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Princip, indikace a kontraindikace, technika podání. Příčiny neúspěchu. Používaná lokální anestetika a jejich volba. Nácvik aplikace ILA tlakovými stříkačkami typu pistole a pera na zvířecích čelistech.</w:t>
            </w:r>
          </w:p>
        </w:tc>
      </w:tr>
      <w:tr w:rsidR="002B6151" w:rsidRPr="00D51C77" w14:paraId="1E82D753" w14:textId="77777777" w:rsidTr="002B6151">
        <w:trPr>
          <w:trHeight w:val="839"/>
          <w:tblHeader/>
        </w:trPr>
        <w:tc>
          <w:tcPr>
            <w:tcW w:w="959" w:type="dxa"/>
          </w:tcPr>
          <w:p w14:paraId="69D22766" w14:textId="77777777" w:rsidR="002B6151" w:rsidRPr="00D51C77" w:rsidRDefault="00136891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DVPPZL13</w:t>
            </w:r>
          </w:p>
        </w:tc>
        <w:tc>
          <w:tcPr>
            <w:tcW w:w="3544" w:type="dxa"/>
          </w:tcPr>
          <w:p w14:paraId="3E3E64E6" w14:textId="77777777" w:rsidR="002B6151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Základy fotografické dokumentace ve stomatologické ordinaci. Práce s lupovými brýlemi. - praktický kurz</w:t>
            </w:r>
          </w:p>
        </w:tc>
        <w:tc>
          <w:tcPr>
            <w:tcW w:w="4709" w:type="dxa"/>
          </w:tcPr>
          <w:p w14:paraId="7AB19428" w14:textId="77777777" w:rsidR="004D5206" w:rsidRPr="00D51C77" w:rsidRDefault="004D5206" w:rsidP="004D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Teoretická část: Výhody používání lupových brýlí a praktické rady pro jejich klinické využití. Základy focení makrofotografie a specifika zubní fotografie. Tipy pro zhotovení stomatologické fotodokumentace. Porovnání různých typů zrcadel, ústních retraktorů a osvětlení. Tipy pro úpravu digitální fotografie. </w:t>
            </w:r>
          </w:p>
          <w:p w14:paraId="098DC31D" w14:textId="77777777" w:rsidR="002B6151" w:rsidRPr="00D51C77" w:rsidRDefault="004D5206" w:rsidP="004D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Praktická část: K dispozici bude několik lupových brýlí různého zvětšení. Ústní retraktory a fotografická zrcadla. Doporučené vybavení: Vlastní fotografické přístroje (např. mobily, kompaktní fotoaparáty, zrcadlovky), případně také ústní retraktory a fotografická zrcadla. K vyzkoušení lupových brýlí je vhodné přinést extrahované a trepanované zuby.</w:t>
            </w: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6151" w:rsidRPr="00D51C77" w14:paraId="52629B95" w14:textId="77777777" w:rsidTr="002B2631">
        <w:trPr>
          <w:tblHeader/>
        </w:trPr>
        <w:tc>
          <w:tcPr>
            <w:tcW w:w="959" w:type="dxa"/>
          </w:tcPr>
          <w:p w14:paraId="1C8B4FF0" w14:textId="77777777" w:rsidR="002B6151" w:rsidRPr="00D51C77" w:rsidRDefault="00136891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DVPPZL14</w:t>
            </w:r>
          </w:p>
        </w:tc>
        <w:tc>
          <w:tcPr>
            <w:tcW w:w="3544" w:type="dxa"/>
          </w:tcPr>
          <w:p w14:paraId="27867A4A" w14:textId="77777777" w:rsidR="002B6151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Ostření kyret a odstraňování zubního </w:t>
            </w:r>
            <w:proofErr w:type="gram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kamene - praktický</w:t>
            </w:r>
            <w:proofErr w:type="gram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kurz</w:t>
            </w:r>
          </w:p>
        </w:tc>
        <w:tc>
          <w:tcPr>
            <w:tcW w:w="4709" w:type="dxa"/>
          </w:tcPr>
          <w:p w14:paraId="6D0E2306" w14:textId="77777777" w:rsidR="002B6151" w:rsidRPr="00D51C77" w:rsidRDefault="004D5206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Kyrety - jejich</w:t>
            </w:r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orientace a použití, hlavní zásady práce s kyretami. Hlavní chyby a úskalí při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subgingiválním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ošetření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parodontu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. Doporučené postupy při práci s kyretami v jednotlivých úsecích chrupu. Údržba a ostření kyret.</w:t>
            </w:r>
          </w:p>
        </w:tc>
      </w:tr>
      <w:tr w:rsidR="002B6151" w:rsidRPr="00D51C77" w14:paraId="25E23259" w14:textId="77777777" w:rsidTr="004D5206">
        <w:trPr>
          <w:trHeight w:val="2835"/>
          <w:tblHeader/>
        </w:trPr>
        <w:tc>
          <w:tcPr>
            <w:tcW w:w="959" w:type="dxa"/>
          </w:tcPr>
          <w:p w14:paraId="2BF78D74" w14:textId="77777777" w:rsidR="002B6151" w:rsidRPr="00D51C77" w:rsidRDefault="00136891" w:rsidP="002B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DVPPZL15</w:t>
            </w:r>
          </w:p>
        </w:tc>
        <w:tc>
          <w:tcPr>
            <w:tcW w:w="3544" w:type="dxa"/>
          </w:tcPr>
          <w:p w14:paraId="52FA6B50" w14:textId="77777777" w:rsidR="002B6151" w:rsidRPr="00D51C77" w:rsidRDefault="002B6151" w:rsidP="002B2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Parodontální</w:t>
            </w:r>
            <w:proofErr w:type="spell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chirurgie na prasečích </w:t>
            </w:r>
            <w:proofErr w:type="gramStart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čelistech - praktický</w:t>
            </w:r>
            <w:proofErr w:type="gramEnd"/>
            <w:r w:rsidRPr="00D51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kurz</w:t>
            </w:r>
          </w:p>
        </w:tc>
        <w:tc>
          <w:tcPr>
            <w:tcW w:w="4709" w:type="dxa"/>
          </w:tcPr>
          <w:p w14:paraId="6BF3C389" w14:textId="77777777" w:rsidR="004D5206" w:rsidRPr="00D51C77" w:rsidRDefault="004D5206" w:rsidP="004D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Teoretická část: Parodontologické a chirurgické nástroje. Šicí materiály a techniky. Řezy.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Parodontální</w:t>
            </w:r>
            <w:proofErr w:type="spell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laloky. Volný gingivální a mesenchymální štěp. Stopkové laloky. Rušení tahu slizničních řas a alveolární sliznice. Řízená tkáňová regenerace. Obvazy. </w:t>
            </w:r>
          </w:p>
          <w:p w14:paraId="01A1590E" w14:textId="77777777" w:rsidR="002B6151" w:rsidRPr="00D51C77" w:rsidRDefault="004D5206" w:rsidP="004D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Praktická část: chirurgické preparační a šicí techniky na prasečích čelistech </w:t>
            </w:r>
            <w:proofErr w:type="gram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>parodontální</w:t>
            </w:r>
            <w:proofErr w:type="spellEnd"/>
            <w:proofErr w:type="gramEnd"/>
            <w:r w:rsidRPr="00D51C77">
              <w:rPr>
                <w:rFonts w:ascii="Times New Roman" w:hAnsi="Times New Roman" w:cs="Times New Roman"/>
                <w:sz w:val="24"/>
                <w:szCs w:val="24"/>
              </w:rPr>
              <w:t xml:space="preserve"> laloky, volné štěpy, stopkové laloky, rušení tahů, řízená tkáňová regenerace.</w:t>
            </w:r>
          </w:p>
        </w:tc>
      </w:tr>
    </w:tbl>
    <w:p w14:paraId="71B24604" w14:textId="77777777" w:rsidR="00C10D35" w:rsidRPr="00D51C77" w:rsidRDefault="00C10D35">
      <w:pPr>
        <w:rPr>
          <w:rFonts w:ascii="Times New Roman" w:hAnsi="Times New Roman" w:cs="Times New Roman"/>
          <w:sz w:val="24"/>
          <w:szCs w:val="24"/>
        </w:rPr>
      </w:pPr>
    </w:p>
    <w:sectPr w:rsidR="00C10D35" w:rsidRPr="00D5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2FEF"/>
    <w:multiLevelType w:val="hybridMultilevel"/>
    <w:tmpl w:val="4974494E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6"/>
    <w:rsid w:val="000403CE"/>
    <w:rsid w:val="00136891"/>
    <w:rsid w:val="00147116"/>
    <w:rsid w:val="00176EC6"/>
    <w:rsid w:val="001D2D4E"/>
    <w:rsid w:val="001E1B23"/>
    <w:rsid w:val="00203AC2"/>
    <w:rsid w:val="00257B2C"/>
    <w:rsid w:val="00270FFB"/>
    <w:rsid w:val="002B2086"/>
    <w:rsid w:val="002B2631"/>
    <w:rsid w:val="002B6151"/>
    <w:rsid w:val="00317587"/>
    <w:rsid w:val="003A372D"/>
    <w:rsid w:val="0041254B"/>
    <w:rsid w:val="004D5206"/>
    <w:rsid w:val="004E1178"/>
    <w:rsid w:val="004F22E7"/>
    <w:rsid w:val="004F30B6"/>
    <w:rsid w:val="00526829"/>
    <w:rsid w:val="005656AD"/>
    <w:rsid w:val="005B5C70"/>
    <w:rsid w:val="005E06A0"/>
    <w:rsid w:val="006062F2"/>
    <w:rsid w:val="00644399"/>
    <w:rsid w:val="006628D5"/>
    <w:rsid w:val="0077666C"/>
    <w:rsid w:val="007E12CB"/>
    <w:rsid w:val="00896B1D"/>
    <w:rsid w:val="008A36CE"/>
    <w:rsid w:val="008E2918"/>
    <w:rsid w:val="008E4294"/>
    <w:rsid w:val="00926503"/>
    <w:rsid w:val="009571C6"/>
    <w:rsid w:val="00A52DA5"/>
    <w:rsid w:val="00B61790"/>
    <w:rsid w:val="00B8679F"/>
    <w:rsid w:val="00BE2F58"/>
    <w:rsid w:val="00C10D35"/>
    <w:rsid w:val="00C114CD"/>
    <w:rsid w:val="00C24A5B"/>
    <w:rsid w:val="00C67DEC"/>
    <w:rsid w:val="00C95586"/>
    <w:rsid w:val="00CF6A98"/>
    <w:rsid w:val="00D51C77"/>
    <w:rsid w:val="00D649EC"/>
    <w:rsid w:val="00D80B39"/>
    <w:rsid w:val="00EA26E4"/>
    <w:rsid w:val="00EE59B2"/>
    <w:rsid w:val="00EF446D"/>
    <w:rsid w:val="00F03F0A"/>
    <w:rsid w:val="00F16963"/>
    <w:rsid w:val="00F24A81"/>
    <w:rsid w:val="00F27404"/>
    <w:rsid w:val="00F82EF9"/>
    <w:rsid w:val="00F952EF"/>
    <w:rsid w:val="00FA0347"/>
    <w:rsid w:val="00FD256F"/>
    <w:rsid w:val="00FD72C4"/>
    <w:rsid w:val="00FF0296"/>
    <w:rsid w:val="37AB595A"/>
    <w:rsid w:val="63E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CD19"/>
  <w15:docId w15:val="{C83CC9CA-9971-4C09-B666-EF971C33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58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55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5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5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5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5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87BFC283CD74B93EC554C29AC70D6" ma:contentTypeVersion="12" ma:contentTypeDescription="Vytvoří nový dokument" ma:contentTypeScope="" ma:versionID="4f83c4b83e3c52882b418b61ee4d2c0c">
  <xsd:schema xmlns:xsd="http://www.w3.org/2001/XMLSchema" xmlns:xs="http://www.w3.org/2001/XMLSchema" xmlns:p="http://schemas.microsoft.com/office/2006/metadata/properties" xmlns:ns2="d43ad6b2-e985-4f50-a738-ccd045980908" xmlns:ns3="23f1f414-b855-4d8a-bacc-e660272cd5c9" targetNamespace="http://schemas.microsoft.com/office/2006/metadata/properties" ma:root="true" ma:fieldsID="54b8096683158cb729fc26565ea5a00a" ns2:_="" ns3:_="">
    <xsd:import namespace="d43ad6b2-e985-4f50-a738-ccd045980908"/>
    <xsd:import namespace="23f1f414-b855-4d8a-bacc-e660272cd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d6b2-e985-4f50-a738-ccd04598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f414-b855-4d8a-bacc-e660272cd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F82A-D582-4CCC-933E-B69B43E1D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60327-90AC-4F53-B663-D74EC3D47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25A89-3406-4E4B-96D1-D4695659F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ad6b2-e985-4f50-a738-ccd045980908"/>
    <ds:schemaRef ds:uri="23f1f414-b855-4d8a-bacc-e660272c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2FA88-0C24-4FA9-A5D6-C039C4E1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1722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Slavík</dc:creator>
  <cp:keywords/>
  <cp:lastModifiedBy>Hana Štěpánková</cp:lastModifiedBy>
  <cp:revision>5</cp:revision>
  <dcterms:created xsi:type="dcterms:W3CDTF">2020-12-15T10:17:00Z</dcterms:created>
  <dcterms:modified xsi:type="dcterms:W3CDTF">2020-12-19T23:09:00Z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0x0101007DF87BFC283CD74B93EC554C29AC70D6</vt:lpwstr>
  </property>
</Properties>
</file>